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佛山市佛山标准和卓越绩效管理促进会</w:t>
      </w:r>
    </w:p>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《佛山标准</w:t>
      </w:r>
      <w:r>
        <w:rPr>
          <w:rFonts w:hint="eastAsia" w:ascii="黑体" w:hAnsi="宋体" w:eastAsia="黑体" w:cs="黑体"/>
          <w:sz w:val="36"/>
          <w:szCs w:val="36"/>
          <w:lang w:val="en-US" w:eastAsia="zh-CN"/>
        </w:rPr>
        <w:t xml:space="preserve"> 快速冷却柜和快速冷冻柜</w:t>
      </w:r>
      <w:r>
        <w:rPr>
          <w:rFonts w:hint="eastAsia" w:ascii="黑体" w:hAnsi="宋体" w:eastAsia="黑体" w:cs="黑体"/>
          <w:sz w:val="36"/>
          <w:szCs w:val="36"/>
          <w:lang w:eastAsia="zh-CN"/>
        </w:rPr>
        <w:t>》团体标准编制说明</w:t>
      </w:r>
    </w:p>
    <w:p>
      <w:pPr>
        <w:widowControl/>
        <w:spacing w:line="720" w:lineRule="auto"/>
        <w:rPr>
          <w:sz w:val="28"/>
          <w:szCs w:val="28"/>
          <w:lang w:eastAsia="zh-CN"/>
        </w:rPr>
      </w:pPr>
      <w:r>
        <w:rPr>
          <w:rFonts w:ascii="黑体" w:hAnsi="宋体" w:eastAsia="黑体" w:cs="黑体"/>
          <w:sz w:val="28"/>
          <w:szCs w:val="28"/>
          <w:lang w:eastAsia="zh-CN"/>
        </w:rPr>
        <w:t>1 项目背景</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产业背景</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快速冷却柜和快速冷冻柜（以下简称</w:t>
      </w:r>
      <w:r>
        <w:rPr>
          <w:rFonts w:hint="eastAsia" w:ascii="仿宋" w:hAnsi="仿宋" w:eastAsia="仿宋" w:cs="仿宋"/>
          <w:color w:val="auto"/>
          <w:sz w:val="28"/>
          <w:szCs w:val="28"/>
          <w:lang w:eastAsia="zh-CN"/>
        </w:rPr>
        <w:t>速冻柜）是餐饮业、食品加工行业以及超市等场所重要的设备，它能够迅速降低食品温度以保持其新鲜度和质量。目前，市场上的商用速冻柜主要采用空气强制循环冷却技术，通过高效压缩机和优化设计的风道系统实现快速降温。近年来，随着消费者对食品安全和质量要求的提高，以及冷链物流行业的快速发展，对于商用速冻柜的需求也日益增加。同时，环保意识的提升促使商用速冻柜企业不断探索更节能、环保的制冷剂和技术，例如采用天然制冷剂如二氧化碳或氨等，以减少对环境的影响。此外，一些高端型号已经开始集成智能控制系统，允许用户远程监控冷冻过程，并根据实际需求调整运行参数，提高了操作便利性和能源效率</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在市场规模和增长情况看，2024年，中国食品速冻柜市场规模达到了185亿元人民币，相较于2023年的167亿元人民币，同比增长了10.8%。这一增长主要得益于餐饮行业的复苏以及消费者对食品安全和品质要求的提升。预计到2025年，市场规模将进一步扩大至210亿元人民币，增长率保持在13.5%左右。</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从产量来看，2024年中国食品速冻柜的总产量为120万台，比2023年的108万台增长了11.1%。随着技术的进步和生产效率的提高，预计2025年的产量将达到135万台，增幅约为12.5%。这表明市场不仅在需求端表现出强劲的增长势头，在供给端也具备足够的产能支撑。</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在区域分布与市场需求看，华东地区是中国食品速冻柜最大的消费市场，占据了全国约40%的市场份额。2024年该地区的销售额达到了74亿元人民币，较2023年的67亿元人民币增长了10.4%。华南地区，占比约为25%，销售额为46亿元人民币，同比增长9.8%。华北地区排名占比 20%，销售额为37亿元人民币，同比增长11.6%。其他地区如华中、西南和东北地区的合计占比为15%，销售额为28亿元人民币，同比增长12.2%。这种区域分布反映了经济发展水平和人口密度对市场需求的影响。发达地区由于餐饮业繁荣、冷链物流完善等因素，对于食品速冻柜的需求更为旺盛。而随着中西部地区经济的快速发展和城镇化进程的加快，这些地区的潜在需求也在逐步释放，未来有望成为新的增长点。</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截至2024年底，中国食品速冻柜行业内共有超过500家生产企业，其中规模以上企业(年主营业务收入达到2000万元以上)数量约为150家。海信容声海尔集团、美的集团等大型家电企业在市场上占据主导地位，三者合计市场份额超过了60%。   </w:t>
      </w:r>
    </w:p>
    <w:p>
      <w:pPr>
        <w:spacing w:line="36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佛山的冷冻柜行业在广东及国内外都有一定实力和知名度，广东产量占全国</w:t>
      </w:r>
      <w:r>
        <w:rPr>
          <w:rFonts w:hint="eastAsia" w:ascii="仿宋" w:hAnsi="仿宋" w:eastAsia="仿宋" w:cs="仿宋"/>
          <w:color w:val="auto"/>
          <w:sz w:val="28"/>
          <w:szCs w:val="28"/>
          <w:lang w:val="en-US" w:eastAsia="zh-CN"/>
        </w:rPr>
        <w:t>30%左右，除美的外，佛山企业</w:t>
      </w:r>
      <w:r>
        <w:rPr>
          <w:rFonts w:hint="eastAsia" w:ascii="仿宋" w:hAnsi="仿宋" w:eastAsia="仿宋" w:cs="仿宋"/>
          <w:color w:val="auto"/>
          <w:sz w:val="28"/>
          <w:szCs w:val="28"/>
          <w:lang w:eastAsia="zh-CN"/>
        </w:rPr>
        <w:t>广东星星算后起之秀，近几年发展迅速，冷柜类产量在国内市场约占比18%</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广东星星公司一家致力于商用厨房冷柜研发与制造、年生产能力50万台的民营企业，拥有U-STAR（优斯达）、GRISTA（格林斯达）两个知名品牌，厂房面积逾200,000平方米的现代化工厂，业界先进的专业生产线以及精密设备，拥有实力雄厚的技术、资深的生产管理团队及获得北美能源之星TMP认证的型式试验室，是全国最大的商用厨房冰箱生产基地之一。产品在国内获取较高市场占有率，又成功拓展了北美、欧洲、东南亚、澳洲及中东等国际市场。公司近年来销量稳步增长，居于行业前茅，公司大力开拓国外市场，出口量持续增长，公司产品销售至美国、澳大利亚、加拿大、英国、越南、墨西哥、东南亚等130多个国家和地区，是商用制冷领导品牌。国际市场年出口数量30万台，年出口额达1.66亿美元。</w:t>
      </w:r>
    </w:p>
    <w:p>
      <w:pPr>
        <w:widowControl/>
        <w:numPr>
          <w:ilvl w:val="1"/>
          <w:numId w:val="7"/>
        </w:numPr>
        <w:spacing w:line="720" w:lineRule="auto"/>
        <w:rPr>
          <w:rFonts w:hint="eastAsia" w:ascii="黑体" w:hAnsi="宋体" w:eastAsia="黑体" w:cs="黑体"/>
          <w:color w:val="auto"/>
          <w:sz w:val="28"/>
          <w:szCs w:val="28"/>
          <w:lang w:eastAsia="zh-CN"/>
        </w:rPr>
      </w:pPr>
      <w:bookmarkStart w:id="0" w:name="OLE_LINK2"/>
      <w:r>
        <w:rPr>
          <w:rFonts w:hint="eastAsia" w:ascii="黑体" w:hAnsi="宋体" w:eastAsia="黑体" w:cs="黑体"/>
          <w:color w:val="auto"/>
          <w:sz w:val="28"/>
          <w:szCs w:val="28"/>
          <w:lang w:eastAsia="zh-CN"/>
        </w:rPr>
        <w:t>速冻柜技术发展趋势</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未来，</w:t>
      </w:r>
      <w:bookmarkStart w:id="1" w:name="OLE_LINK5"/>
      <w:r>
        <w:rPr>
          <w:rFonts w:hint="eastAsia" w:ascii="仿宋" w:hAnsi="仿宋" w:eastAsia="仿宋" w:cs="仿宋"/>
          <w:color w:val="auto"/>
          <w:sz w:val="28"/>
          <w:szCs w:val="28"/>
          <w:lang w:eastAsia="zh-CN"/>
        </w:rPr>
        <w:t>速冻柜</w:t>
      </w:r>
      <w:bookmarkEnd w:id="1"/>
      <w:r>
        <w:rPr>
          <w:rFonts w:hint="eastAsia" w:ascii="仿宋" w:hAnsi="仿宋" w:eastAsia="仿宋" w:cs="仿宋"/>
          <w:color w:val="auto"/>
          <w:sz w:val="28"/>
          <w:szCs w:val="28"/>
          <w:lang w:eastAsia="zh-CN"/>
        </w:rPr>
        <w:t>的发展将更加注重智能化与个性化定制。一方面，随着物联网(IoT)技术的普及，未来的速冻柜将能够与其他厨房设备无缝连接，形成一个智能化的食物管理系统，不仅能够自动调节温度，还能预测维护需求，提前预警潜在故障，从而大幅减少停机时间。另一方面，针对不同行业特定需求（如餐饮业、海鲜处理等）开发的专业化速冻解决方案也将成为发展趋势。这些定制化的速冻柜将根据不同的食材特性优化设计，确保最佳冷冻效果。此外，考虑到全球变暖和环境保护的压力，开发更加环保、低能耗的速冻技术将是研究的重点方向之一，旨在减少温室气体排放并提高资源利用效率。</w:t>
      </w:r>
    </w:p>
    <w:bookmarkEnd w:id="0"/>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（一）技术创新趋势</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eastAsia="zh-CN"/>
        </w:rPr>
        <w:t>速冻柜行业的技术创新趋势主要集中在节能降耗、智能化和环保材料的应用上。节能降耗方面，企业通过优化制冷系统、提高能效比等方式，降低产品能耗，满足市场需求。智能化方面，结合物联网、大数据等技术，实现远程监控、数据分析等功能，提升产品智能化水平。环保材料的应用，如使用环保制冷剂、可回收材料等，有助于减少产品对环境的影响。</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在技术创新方面，速冻柜行业正朝着高效率、低噪音、长寿命的方向发展。例如，新型制冷技术的应用，如变频压缩机、多级压缩技术等，能够有效降低能耗，提高制冷效率。此外，轻量化设计和结构优化也成为了技术创新的重要方向，有助于减轻产品重量，降低运输成本。</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lang w:eastAsia="zh-CN"/>
        </w:rPr>
        <w:t>随着新技术的不断涌现，速冻柜行业正逐渐从单一功能向多功能、个性化方向发展。例如，结合显示屏幕、触摸屏等智能交互技术，实现产品信息展示、广告宣传等功能。同时，针对不同应用场景，如医药、食品加工等行业，开发定制化产品，满足特殊需求。这些技术创新不仅提升了产品的市场竞争力，也为行业的发展注入了新的活力。</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（二）关键技术突破</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eastAsia="zh-CN"/>
        </w:rPr>
        <w:t>速冻柜行业在关键技术突破方面取得了显著进展。其中，制冷技术是核心突破之一。新型制冷剂的研发和推广，如R290、R134a等环保制冷剂，不仅符合国际环保标准，而且能效比显著提升。此外，变频压缩机技术的应用，实现了制冷系统的精准控制和能效优化，有效降低了能耗。</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在智能化领域，行业突破了传统速冻柜的局限，实现了远程监控、数据分析和智能控制等功能。通过集成传感器、无线通信模块等，用户可以实时了解设备的运行状态，实现远程故障诊断和维护。同时，智能控制系统可以根据环境变化自动调节制冷参数，提高能源利用效率。</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lang w:eastAsia="zh-CN"/>
        </w:rPr>
        <w:t>材料技术的突破也为速冻柜行业带来了新的发展机遇。轻量化材料的应用，如铝合金、不锈钢等，不仅减轻了产品重量，提高了运输效率，还有助于降低能耗。此外，环保材料的使用，如可回收塑料、生物降解材料等，有助于减少产品生命周期内的环境影响，推动行业向可持续发展转型。</w:t>
      </w:r>
    </w:p>
    <w:p>
      <w:pPr>
        <w:widowControl/>
        <w:numPr>
          <w:ilvl w:val="1"/>
          <w:numId w:val="7"/>
        </w:numPr>
        <w:spacing w:line="720" w:lineRule="auto"/>
        <w:rPr>
          <w:rFonts w:ascii="黑体" w:hAnsi="宋体" w:eastAsia="黑体" w:cs="黑体"/>
          <w:color w:val="auto"/>
          <w:sz w:val="28"/>
          <w:szCs w:val="28"/>
          <w:lang w:eastAsia="zh-CN"/>
        </w:rPr>
      </w:pPr>
      <w:r>
        <w:rPr>
          <w:rFonts w:hint="eastAsia" w:ascii="黑体" w:hAnsi="宋体" w:eastAsia="黑体" w:cs="黑体"/>
          <w:color w:val="auto"/>
          <w:sz w:val="28"/>
          <w:szCs w:val="28"/>
          <w:lang w:eastAsia="zh-CN"/>
        </w:rPr>
        <w:t>提升方向</w:t>
      </w:r>
    </w:p>
    <w:p>
      <w:pPr>
        <w:spacing w:line="360" w:lineRule="auto"/>
        <w:ind w:firstLine="560" w:firstLineChars="200"/>
        <w:jc w:val="both"/>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通过打造佛山标准，树立优质区域品牌形象，有助于进一步做大做强产业。进一步提高快速冷却柜和快速冻结柜的产品质量，引导行业有序、健康发展，树立和提升区域品牌形象。团体标准的提升方向具体如下： </w:t>
      </w:r>
    </w:p>
    <w:p>
      <w:pPr>
        <w:spacing w:line="360" w:lineRule="auto"/>
        <w:ind w:firstLine="560" w:firstLineChars="200"/>
        <w:jc w:val="both"/>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满足用户需求。随着产品品质的提高，用户不仅看重快速冷却柜和快速冻结柜的基础功能，还更关注快速冷却柜和快速冻结柜的质量稳定性、可靠性和多功能性，本标准编制过程充分考虑了用户的需求及提出的意见和建议。</w:t>
      </w:r>
    </w:p>
    <w:p>
      <w:pPr>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符合政策要求。当前政策对于卫生安全、环保节能的要求不断提高，快速冷却柜和快速冻结柜产品应注重卫生安全和环保性，符合政策导向和要求。本标准对快速冷却柜和快速冻结柜产品的耗电量、能效指数、噪声、安全、电磁兼容、限用物质、制冷剂类型、食品接触材料安全及抗菌等指标进行了考核。</w:t>
      </w:r>
    </w:p>
    <w:p>
      <w:pPr>
        <w:spacing w:line="360" w:lineRule="auto"/>
        <w:ind w:firstLine="560" w:firstLineChars="200"/>
        <w:jc w:val="both"/>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适应产品发展需要</w:t>
      </w:r>
      <w:r>
        <w:rPr>
          <w:rFonts w:ascii="仿宋" w:hAnsi="仿宋" w:eastAsia="仿宋" w:cs="仿宋"/>
          <w:color w:val="auto"/>
          <w:sz w:val="28"/>
          <w:szCs w:val="28"/>
          <w:lang w:eastAsia="zh-CN"/>
        </w:rPr>
        <w:t>。</w:t>
      </w:r>
      <w:r>
        <w:rPr>
          <w:rFonts w:hint="eastAsia" w:ascii="仿宋" w:hAnsi="仿宋" w:eastAsia="仿宋" w:cs="仿宋"/>
          <w:color w:val="auto"/>
          <w:sz w:val="28"/>
          <w:szCs w:val="28"/>
          <w:lang w:eastAsia="zh-CN"/>
        </w:rPr>
        <w:t>快速冷却柜和快速冻结柜属于较为成熟且又具有高技术含量和技术创新发展的产品，市场竞争激烈。为保证佛山地区快速冷却柜和快速冻结柜产品的竞争优势，更好地扩大影响力，抢占国内外市场份额，需要打造更高水平的标准，比现有国家、行业标准的要求更高，把中高端快速冷却柜和快速冻结柜做好做强。</w:t>
      </w:r>
    </w:p>
    <w:p>
      <w:pPr>
        <w:widowControl/>
        <w:numPr>
          <w:ilvl w:val="1"/>
          <w:numId w:val="7"/>
        </w:numPr>
        <w:spacing w:line="720" w:lineRule="auto"/>
        <w:rPr>
          <w:rFonts w:hint="eastAsia" w:ascii="黑体" w:hAnsi="宋体" w:eastAsia="黑体" w:cs="黑体"/>
          <w:color w:val="auto"/>
          <w:sz w:val="28"/>
          <w:szCs w:val="28"/>
          <w:lang w:eastAsia="zh-CN"/>
        </w:rPr>
      </w:pPr>
      <w:r>
        <w:rPr>
          <w:rFonts w:hint="eastAsia" w:ascii="黑体" w:hAnsi="宋体" w:eastAsia="黑体" w:cs="黑体"/>
          <w:color w:val="auto"/>
          <w:sz w:val="28"/>
          <w:szCs w:val="28"/>
          <w:lang w:eastAsia="zh-CN"/>
        </w:rPr>
        <w:t>项目意义</w:t>
      </w:r>
    </w:p>
    <w:p>
      <w:pPr>
        <w:widowControl/>
        <w:spacing w:line="360" w:lineRule="auto"/>
        <w:ind w:firstLine="560" w:firstLineChars="200"/>
        <w:jc w:val="both"/>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为更好地发展佛山市重点产业、优势产品，本标准根据佛山标准要求，定位于“国内领先、国际先进”的水平，充分考虑行业发展情况，使标准编制更趋于合理、科学、先进。满足当前客户对快速冷却柜和快速冻结柜的要求，提高产品国内外场竞争力，对行业健康、快速发展有促进和引领作用。执行本标准有助于提升产品质量水平，扩大品牌影响力，提高企业竞争力，带动和引领佛山市制造业向高水平领域发展，以实现我市产品质量水平明显提升，推动佛山品牌、佛山产品更好地走出去。</w:t>
      </w:r>
    </w:p>
    <w:p>
      <w:pPr>
        <w:widowControl/>
        <w:spacing w:line="720" w:lineRule="auto"/>
        <w:rPr>
          <w:sz w:val="28"/>
          <w:szCs w:val="28"/>
          <w:lang w:eastAsia="zh-CN"/>
        </w:rPr>
      </w:pPr>
      <w:r>
        <w:rPr>
          <w:rFonts w:hint="eastAsia" w:ascii="黑体" w:hAnsi="宋体" w:eastAsia="黑体" w:cs="黑体"/>
          <w:sz w:val="28"/>
          <w:szCs w:val="28"/>
          <w:lang w:eastAsia="zh-CN"/>
        </w:rPr>
        <w:t>2 标准制定工作概况</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2.1 准备工作</w:t>
      </w:r>
    </w:p>
    <w:p>
      <w:pPr>
        <w:widowControl/>
        <w:spacing w:line="360" w:lineRule="auto"/>
        <w:ind w:firstLine="560" w:firstLineChars="200"/>
        <w:jc w:val="both"/>
        <w:rPr>
          <w:rFonts w:ascii="仿宋" w:hAnsi="仿宋" w:eastAsia="仿宋" w:cs="仿宋"/>
          <w:sz w:val="28"/>
          <w:szCs w:val="28"/>
          <w:lang w:eastAsia="zh-CN"/>
        </w:rPr>
      </w:pPr>
      <w:bookmarkStart w:id="2" w:name="_Hlk130890499"/>
      <w:bookmarkStart w:id="3" w:name="_Hlk130890723"/>
      <w:r>
        <w:rPr>
          <w:rFonts w:hint="eastAsia" w:ascii="仿宋" w:hAnsi="仿宋" w:eastAsia="仿宋" w:cs="仿宋"/>
          <w:sz w:val="28"/>
          <w:szCs w:val="28"/>
          <w:lang w:eastAsia="zh-CN"/>
        </w:rPr>
        <w:t>根据佛山市市场监督管理局对佛山标准推进工作的计划和时间要求，在佛山市佛山标准与卓越绩效管理促进会的指导和管理下，为更好地开展编制工作，</w:t>
      </w:r>
      <w:r>
        <w:rPr>
          <w:rFonts w:hint="eastAsia" w:ascii="仿宋" w:hAnsi="仿宋" w:eastAsia="仿宋" w:cs="仿宋"/>
          <w:sz w:val="28"/>
          <w:szCs w:val="28"/>
          <w:lang w:val="en-US" w:eastAsia="zh-CN"/>
        </w:rPr>
        <w:t>广东星星制冷设备</w:t>
      </w:r>
      <w:r>
        <w:rPr>
          <w:rFonts w:hint="eastAsia" w:ascii="仿宋" w:hAnsi="仿宋" w:eastAsia="仿宋" w:cs="仿宋"/>
          <w:sz w:val="28"/>
          <w:szCs w:val="28"/>
          <w:lang w:eastAsia="zh-CN"/>
        </w:rPr>
        <w:t>有限公司、佛山市顺德区质量技术监督标准与编码所到访企业召开标准起草讨论会，成立了标准工作组。</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val="en-US" w:eastAsia="zh-CN"/>
        </w:rPr>
        <w:t>广东星星制冷设备</w:t>
      </w:r>
      <w:r>
        <w:rPr>
          <w:rFonts w:hint="eastAsia" w:ascii="仿宋" w:hAnsi="仿宋" w:eastAsia="仿宋" w:cs="仿宋"/>
          <w:sz w:val="28"/>
          <w:szCs w:val="28"/>
          <w:lang w:eastAsia="zh-CN"/>
        </w:rPr>
        <w:t>有限公司、佛山市顺德区质量技术监督标准与编码所主要</w:t>
      </w:r>
      <w:r>
        <w:rPr>
          <w:rFonts w:ascii="仿宋" w:hAnsi="仿宋" w:eastAsia="仿宋" w:cs="仿宋"/>
          <w:sz w:val="28"/>
          <w:szCs w:val="28"/>
          <w:lang w:eastAsia="zh-CN"/>
        </w:rPr>
        <w:t>负责</w:t>
      </w:r>
      <w:r>
        <w:rPr>
          <w:rFonts w:hint="eastAsia" w:ascii="仿宋" w:hAnsi="仿宋" w:eastAsia="仿宋" w:cs="仿宋"/>
          <w:sz w:val="28"/>
          <w:szCs w:val="28"/>
          <w:lang w:eastAsia="zh-CN"/>
        </w:rPr>
        <w:t>确定标准研制对应的产品类别，针对产品技术发展情况和用户痛点问题明确关键指标，</w:t>
      </w:r>
      <w:r>
        <w:rPr>
          <w:rFonts w:ascii="仿宋" w:hAnsi="仿宋" w:eastAsia="仿宋" w:cs="仿宋"/>
          <w:sz w:val="28"/>
          <w:szCs w:val="28"/>
          <w:lang w:eastAsia="zh-CN"/>
        </w:rPr>
        <w:t>收集企业现有产品技术性能参数，查阅国内外相关产品的技术文档、标准、专利，形成相关的标准集合。对比国内外等同类产品标准的有关条款，编制标准草案，组织</w:t>
      </w:r>
      <w:r>
        <w:rPr>
          <w:rFonts w:hint="eastAsia" w:ascii="仿宋" w:hAnsi="仿宋" w:eastAsia="仿宋" w:cs="仿宋"/>
          <w:sz w:val="28"/>
          <w:szCs w:val="28"/>
          <w:lang w:eastAsia="zh-CN"/>
        </w:rPr>
        <w:t>工作人员到企业现场核实验证指标，策划标准研讨、公开</w:t>
      </w:r>
      <w:r>
        <w:rPr>
          <w:rFonts w:ascii="仿宋" w:hAnsi="仿宋" w:eastAsia="仿宋" w:cs="仿宋"/>
          <w:sz w:val="28"/>
          <w:szCs w:val="28"/>
          <w:lang w:eastAsia="zh-CN"/>
        </w:rPr>
        <w:t>征求标准意见等</w:t>
      </w:r>
      <w:r>
        <w:rPr>
          <w:rFonts w:hint="eastAsia" w:ascii="仿宋" w:hAnsi="仿宋" w:eastAsia="仿宋" w:cs="仿宋"/>
          <w:sz w:val="28"/>
          <w:szCs w:val="28"/>
          <w:lang w:eastAsia="zh-CN"/>
        </w:rPr>
        <w:t>前期准备工作。并根据相关工作内容安排了工作计划，大致内容如下：</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1）</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月调研与前期准备阶段：完成行业调研和相关标准、用户痛点问题的收集整理，并组织到访</w:t>
      </w:r>
      <w:r>
        <w:rPr>
          <w:rFonts w:hint="eastAsia" w:ascii="仿宋" w:hAnsi="仿宋" w:eastAsia="仿宋" w:cs="仿宋"/>
          <w:sz w:val="28"/>
          <w:szCs w:val="28"/>
          <w:lang w:val="en-US" w:eastAsia="zh-CN"/>
        </w:rPr>
        <w:t>广东星星制冷设备</w:t>
      </w:r>
      <w:r>
        <w:rPr>
          <w:rFonts w:hint="eastAsia" w:ascii="仿宋" w:hAnsi="仿宋" w:eastAsia="仿宋" w:cs="仿宋"/>
          <w:sz w:val="28"/>
          <w:szCs w:val="28"/>
          <w:lang w:eastAsia="zh-CN"/>
        </w:rPr>
        <w:t>有限公司；</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2）</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月标准起草阶段：编写标准草案（工作组讨论稿）、编写标准编制说明；</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月研讨与征求意见阶段：组织标准讨论工作群及现场沟通，并征求工作组和行业协会、专家意见，完成标准送审稿及其他评审材料；</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4）202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月评审与发布阶段：组织召开标准评审会，根据专家意见，修改完善形成标准报批稿并发布。</w:t>
      </w:r>
      <w:bookmarkEnd w:id="2"/>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2.2  标准草案编制</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月启动标准草案研制工作，结合前期准备工作成果，征求起草单位意见，充分考虑佛山标准的编制要求、编制理念和定位要求等，体现了标准的先进性。具体说明如下：</w:t>
      </w:r>
    </w:p>
    <w:p>
      <w:pPr>
        <w:widowControl/>
        <w:numPr>
          <w:ilvl w:val="0"/>
          <w:numId w:val="8"/>
        </w:numPr>
        <w:spacing w:line="360" w:lineRule="auto"/>
        <w:ind w:firstLine="560" w:firstLineChars="200"/>
        <w:jc w:val="both"/>
        <w:rPr>
          <w:rFonts w:ascii="仿宋" w:hAnsi="仿宋" w:eastAsia="仿宋" w:cs="仿宋"/>
          <w:sz w:val="28"/>
          <w:szCs w:val="28"/>
          <w:lang w:eastAsia="zh-CN"/>
        </w:rPr>
      </w:pPr>
      <w:bookmarkStart w:id="4" w:name="_Hlk130891623"/>
      <w:r>
        <w:rPr>
          <w:rFonts w:hint="eastAsia" w:ascii="仿宋" w:hAnsi="仿宋" w:eastAsia="仿宋" w:cs="仿宋"/>
          <w:sz w:val="28"/>
          <w:szCs w:val="28"/>
          <w:lang w:eastAsia="zh-CN"/>
        </w:rPr>
        <w:t>优化基础指标，提升关键指标</w:t>
      </w:r>
      <w:bookmarkEnd w:id="4"/>
    </w:p>
    <w:p>
      <w:pPr>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结合相关标准及信息收集、分析、比对，主要在国家标准的基础上，对结构和材料、</w:t>
      </w:r>
      <w:r>
        <w:rPr>
          <w:rFonts w:hint="eastAsia" w:ascii="仿宋" w:hAnsi="仿宋" w:eastAsia="仿宋" w:cs="仿宋"/>
          <w:sz w:val="28"/>
          <w:szCs w:val="28"/>
          <w:lang w:val="zh-CN" w:eastAsia="zh-CN"/>
        </w:rPr>
        <w:t>制冷系统的密封性、噪声、耐电压波动性能、启动性能</w:t>
      </w:r>
      <w:r>
        <w:rPr>
          <w:rFonts w:hint="eastAsia" w:ascii="仿宋" w:hAnsi="仿宋" w:eastAsia="仿宋" w:cs="仿宋"/>
          <w:sz w:val="28"/>
          <w:szCs w:val="28"/>
          <w:lang w:eastAsia="zh-CN"/>
        </w:rPr>
        <w:t>等指标进行提升，主要是为进一步保证产品稳定性、可靠性和节能性环保性和卫生安全性。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）新增指标</w:t>
      </w:r>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结合消费者意见反馈、行业相关数据收集，在国家标准的基础上，新增了</w:t>
      </w:r>
      <w:r>
        <w:rPr>
          <w:rFonts w:hint="eastAsia" w:ascii="仿宋" w:hAnsi="仿宋" w:eastAsia="仿宋" w:cs="仿宋"/>
          <w:sz w:val="28"/>
          <w:szCs w:val="28"/>
          <w:lang w:val="zh-CN" w:eastAsia="zh-CN"/>
        </w:rPr>
        <w:t>空载降温、</w:t>
      </w:r>
      <w:r>
        <w:rPr>
          <w:rFonts w:hint="eastAsia" w:ascii="仿宋" w:hAnsi="仿宋" w:eastAsia="仿宋" w:cs="仿宋"/>
          <w:sz w:val="28"/>
          <w:szCs w:val="28"/>
          <w:lang w:eastAsia="zh-CN"/>
        </w:rPr>
        <w:t>冷剂类型、限用物质、食品接触材料安全、抗菌、智能化等指标，主要是为进一步体现产品的安全卫生性和绿色环保性。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）规定试验方法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参照相关国家标准、行业标准，规定了试验方法。</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2.3  标准草案研讨</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月组织了企业代表召开了线上线下标准讨论会、微信群内、电话讨论及企业现场讨论等方式，讨论主要内容如下：</w:t>
      </w:r>
    </w:p>
    <w:p>
      <w:pPr>
        <w:widowControl/>
        <w:numPr>
          <w:ilvl w:val="0"/>
          <w:numId w:val="9"/>
        </w:num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讨论了指标优化和提升的可行性</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针对标准草案中指标分类及提升哪几项关键指标等问题，企业代表一致认为可行，并逐一确认标准草案中提升的各个指标项。对于目前客户关注的结构和材料、</w:t>
      </w:r>
      <w:r>
        <w:rPr>
          <w:rFonts w:hint="eastAsia" w:ascii="仿宋" w:hAnsi="仿宋" w:eastAsia="仿宋" w:cs="仿宋"/>
          <w:sz w:val="28"/>
          <w:szCs w:val="28"/>
          <w:lang w:val="zh-CN" w:eastAsia="zh-CN"/>
        </w:rPr>
        <w:t>制冷系统的密封性、噪声、启动性能、耐电压波动</w:t>
      </w:r>
      <w:bookmarkStart w:id="9" w:name="_GoBack"/>
      <w:bookmarkEnd w:id="9"/>
      <w:r>
        <w:rPr>
          <w:rFonts w:hint="eastAsia" w:ascii="仿宋" w:hAnsi="仿宋" w:eastAsia="仿宋" w:cs="仿宋"/>
          <w:sz w:val="28"/>
          <w:szCs w:val="28"/>
          <w:lang w:val="zh-CN" w:eastAsia="zh-CN"/>
        </w:rPr>
        <w:t>性能</w:t>
      </w:r>
      <w:r>
        <w:rPr>
          <w:rFonts w:hint="eastAsia" w:ascii="仿宋" w:hAnsi="仿宋" w:eastAsia="仿宋" w:cs="仿宋"/>
          <w:sz w:val="28"/>
          <w:szCs w:val="28"/>
          <w:lang w:eastAsia="zh-CN"/>
        </w:rPr>
        <w:t>指标，企业代表结合最近几年的检测数据和经验积累，给出了专业性的调整建议。</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）讨论了指标新增的合理性</w:t>
      </w:r>
    </w:p>
    <w:p>
      <w:pPr>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针对标准草案中增加的</w:t>
      </w:r>
      <w:r>
        <w:rPr>
          <w:rFonts w:hint="eastAsia" w:ascii="仿宋" w:hAnsi="仿宋" w:eastAsia="仿宋" w:cs="仿宋"/>
          <w:sz w:val="28"/>
          <w:szCs w:val="28"/>
          <w:lang w:val="zh-CN" w:eastAsia="zh-CN"/>
        </w:rPr>
        <w:t>空载降温</w:t>
      </w:r>
      <w:r>
        <w:rPr>
          <w:rFonts w:hint="eastAsia" w:ascii="仿宋" w:hAnsi="仿宋" w:eastAsia="仿宋" w:cs="仿宋"/>
          <w:sz w:val="28"/>
          <w:szCs w:val="28"/>
          <w:lang w:eastAsia="zh-CN"/>
        </w:rPr>
        <w:t>冷剂类型、限用物质、食品接触材料安全、抗菌、智能化等相关指标，确认符合产品趋势、国家产业政策要求及市场导向，属合理增加项。</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3）调整了部分试验方法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针对标准草案中的试验方法，提出了个别试验方法需要更新和调整，并对此给出了补充和修正的建议。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2.4  征求意见情况</w:t>
      </w:r>
    </w:p>
    <w:p>
      <w:pPr>
        <w:widowControl/>
        <w:spacing w:line="360" w:lineRule="auto"/>
        <w:ind w:firstLine="560" w:firstLineChars="200"/>
        <w:rPr>
          <w:rFonts w:ascii="仿宋" w:hAnsi="仿宋" w:eastAsia="仿宋" w:cs="仿宋"/>
          <w:color w:val="FF0000"/>
          <w:sz w:val="28"/>
          <w:szCs w:val="28"/>
          <w:lang w:eastAsia="zh-CN"/>
        </w:rPr>
      </w:pPr>
      <w:r>
        <w:rPr>
          <w:rFonts w:hint="eastAsia" w:ascii="仿宋" w:hAnsi="仿宋" w:eastAsia="仿宋" w:cs="仿宋"/>
          <w:color w:val="FF0000"/>
          <w:sz w:val="28"/>
          <w:szCs w:val="28"/>
          <w:lang w:eastAsia="zh-CN"/>
        </w:rPr>
        <w:t>标准研讨会议后，对标准进行了修改，并于</w:t>
      </w:r>
      <w:r>
        <w:rPr>
          <w:rFonts w:hint="eastAsia" w:ascii="仿宋" w:hAnsi="仿宋" w:eastAsia="仿宋" w:cs="仿宋"/>
          <w:color w:val="FF0000"/>
          <w:sz w:val="28"/>
          <w:szCs w:val="28"/>
          <w:lang w:val="en-US" w:eastAsia="zh-CN"/>
        </w:rPr>
        <w:t>2025年XX月XX日开始</w:t>
      </w:r>
      <w:r>
        <w:rPr>
          <w:rFonts w:hint="eastAsia" w:ascii="仿宋" w:hAnsi="仿宋" w:eastAsia="仿宋" w:cs="仿宋"/>
          <w:color w:val="FF0000"/>
          <w:sz w:val="28"/>
          <w:szCs w:val="28"/>
          <w:lang w:eastAsia="zh-CN"/>
        </w:rPr>
        <w:t>在佛山标准公共平台及团体标准公共服务平台进行公开征求意见。征求意见过程中收到意见</w:t>
      </w:r>
      <w:r>
        <w:rPr>
          <w:rFonts w:hint="eastAsia" w:ascii="仿宋" w:hAnsi="仿宋" w:eastAsia="仿宋" w:cs="仿宋"/>
          <w:color w:val="FF0000"/>
          <w:sz w:val="28"/>
          <w:szCs w:val="28"/>
          <w:lang w:val="en-US" w:eastAsia="zh-CN"/>
        </w:rPr>
        <w:t xml:space="preserve">  条</w:t>
      </w:r>
      <w:r>
        <w:rPr>
          <w:rFonts w:hint="eastAsia" w:ascii="仿宋" w:hAnsi="仿宋" w:eastAsia="仿宋" w:cs="仿宋"/>
          <w:color w:val="FF0000"/>
          <w:sz w:val="28"/>
          <w:szCs w:val="28"/>
          <w:lang w:eastAsia="zh-CN"/>
        </w:rPr>
        <w:t>。</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2.5  重大分岐情况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无</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2.6  专家评审情况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于2</w:t>
      </w:r>
      <w:r>
        <w:rPr>
          <w:rFonts w:ascii="仿宋" w:hAnsi="仿宋" w:eastAsia="仿宋" w:cs="仿宋"/>
          <w:sz w:val="28"/>
          <w:szCs w:val="28"/>
          <w:lang w:eastAsia="zh-CN"/>
        </w:rPr>
        <w:t>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日，佛山市佛山标准与卓越绩效管理促进会组织专家召开了标准定会，专家组听取了编制组的汇报，审阅了相关资料，对标准文本进行了认真、细致和充分的讨论。最后，专家组认为该标准达到国内领先水平，</w:t>
      </w:r>
      <w:r>
        <w:rPr>
          <w:rFonts w:ascii="仿宋" w:hAnsi="仿宋" w:eastAsia="仿宋" w:cs="仿宋"/>
          <w:sz w:val="28"/>
          <w:szCs w:val="28"/>
          <w:lang w:eastAsia="zh-CN"/>
        </w:rPr>
        <w:t>一致</w:t>
      </w:r>
      <w:r>
        <w:rPr>
          <w:rFonts w:hint="eastAsia" w:ascii="仿宋" w:hAnsi="仿宋" w:eastAsia="仿宋" w:cs="仿宋"/>
          <w:sz w:val="28"/>
          <w:szCs w:val="28"/>
          <w:lang w:eastAsia="zh-CN"/>
        </w:rPr>
        <w:t>同意标准</w:t>
      </w:r>
      <w:r>
        <w:rPr>
          <w:rFonts w:ascii="仿宋" w:hAnsi="仿宋" w:eastAsia="仿宋" w:cs="仿宋"/>
          <w:sz w:val="28"/>
          <w:szCs w:val="28"/>
          <w:lang w:eastAsia="zh-CN"/>
        </w:rPr>
        <w:t>通过</w:t>
      </w:r>
      <w:r>
        <w:rPr>
          <w:rFonts w:hint="eastAsia" w:ascii="仿宋" w:hAnsi="仿宋" w:eastAsia="仿宋" w:cs="仿宋"/>
          <w:sz w:val="28"/>
          <w:szCs w:val="28"/>
          <w:lang w:eastAsia="zh-CN"/>
        </w:rPr>
        <w:t>审定。</w:t>
      </w:r>
    </w:p>
    <w:bookmarkEnd w:id="3"/>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  标准编制原则、主要内容及确定依据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3.1  编制原则</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标准编制遵循</w:t>
      </w:r>
      <w:r>
        <w:rPr>
          <w:rFonts w:hint="eastAsia" w:ascii="仿宋" w:hAnsi="仿宋" w:eastAsia="仿宋" w:cs="仿宋"/>
          <w:sz w:val="28"/>
          <w:szCs w:val="28"/>
          <w:lang w:eastAsia="zh-CN"/>
        </w:rPr>
        <w:t>合规性、科学性、先进性、适用性并协调一致</w:t>
      </w:r>
      <w:r>
        <w:rPr>
          <w:rFonts w:ascii="仿宋" w:hAnsi="仿宋" w:eastAsia="仿宋" w:cs="仿宋"/>
          <w:sz w:val="28"/>
          <w:szCs w:val="28"/>
          <w:lang w:eastAsia="zh-CN"/>
        </w:rPr>
        <w:t>的原则，尽可能与国际通行标准接轨，注重标准的可操作性，本标准严格按照GB/T 1.1</w:t>
      </w:r>
      <w:r>
        <w:rPr>
          <w:rFonts w:hint="eastAsia" w:ascii="仿宋" w:hAnsi="仿宋" w:eastAsia="仿宋" w:cs="仿宋"/>
          <w:sz w:val="28"/>
          <w:szCs w:val="28"/>
          <w:lang w:eastAsia="zh-CN"/>
        </w:rPr>
        <w:t>—</w:t>
      </w:r>
      <w:r>
        <w:rPr>
          <w:rFonts w:ascii="仿宋" w:hAnsi="仿宋" w:eastAsia="仿宋" w:cs="仿宋"/>
          <w:sz w:val="28"/>
          <w:szCs w:val="28"/>
          <w:lang w:eastAsia="zh-CN"/>
        </w:rPr>
        <w:t>2020《标准化工作导则 第1部分：标准化文件的结构和起草规则》的规定进行编写和表述。</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3.2  主要参考依据</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bookmarkStart w:id="5" w:name="OLE_LINK10"/>
      <w:r>
        <w:rPr>
          <w:rFonts w:hint="eastAsia" w:ascii="仿宋" w:hAnsi="仿宋" w:eastAsia="仿宋" w:cs="仿宋"/>
          <w:sz w:val="24"/>
          <w:szCs w:val="24"/>
          <w:lang w:eastAsia="zh-CN"/>
        </w:rPr>
        <w:t>GB/T 2828.1 计数抽样检验程序 第1部分：按接收质量限(AQL)检索的逐批检验抽样计划</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2829—2002 周期检验计数抽样程序及表（适用于对过程稳定性的检验）</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3096 声环境质量标准</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4343.1 家用电器、电动工具和类似器具的电磁兼容要求  第l部分：发射</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4343.2 家用电器、电动工具和类似器具的电磁兼容要求 第2部分：抗扰度</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w:t>
      </w:r>
      <w:r>
        <w:rPr>
          <w:rFonts w:hint="eastAsia" w:ascii="仿宋" w:hAnsi="仿宋" w:eastAsia="仿宋" w:cs="仿宋"/>
          <w:sz w:val="24"/>
          <w:szCs w:val="24"/>
          <w:lang w:val="en-US" w:eastAsia="zh-CN"/>
        </w:rPr>
        <w:t>/T</w:t>
      </w:r>
      <w:r>
        <w:rPr>
          <w:rFonts w:hint="eastAsia" w:ascii="仿宋" w:hAnsi="仿宋" w:eastAsia="仿宋" w:cs="仿宋"/>
          <w:sz w:val="24"/>
          <w:szCs w:val="24"/>
          <w:lang w:eastAsia="zh-CN"/>
        </w:rPr>
        <w:t xml:space="preserve"> 4706.1 家用和类似用途电器的安全 第l部分：通用要求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w:t>
      </w:r>
      <w:r>
        <w:rPr>
          <w:rFonts w:hint="eastAsia" w:ascii="仿宋" w:hAnsi="仿宋" w:eastAsia="仿宋" w:cs="仿宋"/>
          <w:sz w:val="24"/>
          <w:szCs w:val="24"/>
          <w:lang w:val="en-US" w:eastAsia="zh-CN"/>
        </w:rPr>
        <w:t>/T</w:t>
      </w:r>
      <w:r>
        <w:rPr>
          <w:rFonts w:hint="eastAsia" w:ascii="仿宋" w:hAnsi="仿宋" w:eastAsia="仿宋" w:cs="仿宋"/>
          <w:sz w:val="24"/>
          <w:szCs w:val="24"/>
          <w:lang w:eastAsia="zh-CN"/>
        </w:rPr>
        <w:t xml:space="preserve"> 4706.102 家用和类似用途电器的安全带嵌装或远置式制冷剂冷凝装置或压缩机的商用制冷器具的特殊要求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4806.1 食品安全国家标准 食品接触材料及制品通用安全要求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4806.5 玻璃制品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4806.7 食品安全国家标准 食品接触用塑料材料及制品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4806.9 食品安全国家标准 食品接触用金属材料及制品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4806.10 食品接触用涂料及涂层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8059  家用和类似用途制冷器具</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9237-2017  制冷系统及热泵 安全与环境要求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16798-2023  食品机械安全要求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17625.1 电磁兼容 限值 谐波电流发射限值(设备每相输入电流≤16A)</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18517 制冷术语</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21001.2—2015 快速冷却柜和快速冻结柜 第2部分：分类、要求和试验条件</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21551.1 家用和类似用途电器的抗菌、除菌、净化功能通则</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21551.2 家用和类似用途电器的抗菌、除菌、净化功能抗菌材料的特殊要求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21551.4 家用和类似用途电器的抗菌、除菌、净化功能 电冰箱的特殊要求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26125 电子电气产品 六种限用物质（铅、汞、镉、六价铬、多溴联苯和多溴二苯醚）的测定</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26572 电子电气产品中限用物质的限量要求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SB 10424 家用和类似用途电器的安全自携或远置冷机组或压缩机的商用制冷器具的特殊</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SB/T 10794.2—2012 商用冷柜 第2部分：分类、要求和试验条件</w:t>
      </w:r>
    </w:p>
    <w:bookmarkEnd w:id="5"/>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SB/T 11048—2013 快速冷却柜和快速冻结柜</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  标准主要内容</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4.1  范围</w:t>
      </w:r>
    </w:p>
    <w:p>
      <w:pPr>
        <w:pStyle w:val="38"/>
        <w:ind w:firstLine="420"/>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本文件规定了快速冷却柜和快速冻结柜的型式和基本参数、要求、试验方法、检验规则、标志、制造商所提供的信息、包装、运输、贮存及质量承诺。</w:t>
      </w:r>
    </w:p>
    <w:p>
      <w:pPr>
        <w:pStyle w:val="38"/>
        <w:ind w:firstLine="420"/>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本文件适用于由电机驱动压缩冷凝机组制冷，采用强制风冷的、用于快速冷却和快速冻结食物的商用和类似用途的快速冷却柜和快速冻结柜。</w:t>
      </w:r>
    </w:p>
    <w:p>
      <w:pPr>
        <w:pStyle w:val="38"/>
        <w:ind w:firstLine="420"/>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本文件不适用于连续式快速冷却和快速冻结设备。</w:t>
      </w:r>
    </w:p>
    <w:p>
      <w:pPr>
        <w:pStyle w:val="38"/>
        <w:ind w:firstLine="420"/>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本文件不适用于真空冷却和真空冻结设备。</w:t>
      </w:r>
    </w:p>
    <w:p>
      <w:pPr>
        <w:widowControl/>
        <w:spacing w:line="360" w:lineRule="auto"/>
        <w:ind w:firstLine="560" w:firstLineChars="200"/>
        <w:rPr>
          <w:rFonts w:hint="default" w:ascii="仿宋" w:hAnsi="仿宋" w:eastAsia="仿宋" w:cs="仿宋"/>
          <w:sz w:val="28"/>
          <w:szCs w:val="28"/>
          <w:lang w:val="en-US" w:eastAsia="zh-CN" w:bidi="ar-SA"/>
        </w:rPr>
      </w:pPr>
      <w:r>
        <w:rPr>
          <w:rFonts w:hint="eastAsia" w:ascii="仿宋" w:hAnsi="仿宋" w:eastAsia="仿宋" w:cs="仿宋"/>
          <w:sz w:val="28"/>
          <w:szCs w:val="28"/>
          <w:lang w:val="en-US" w:eastAsia="zh-CN" w:bidi="ar-SA"/>
        </w:rPr>
        <w:t>本文件不适用于家用电冰箱（GB/T 8059）和商用冷柜（SB/T 10794.2）。</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4.2  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包括了三部分，第一部分是基础性指标，是产品基本属性指标；第二部分是关键性指标，是消费者和企业都关注、体现产品竞争力的技术指标，指标提升，用户满意度会明显提升；第三部分是新增指标，新增指标是在行业标准的基础上，根据目前其他相关国行标准的最新要求和体现企业技术创新，指标确立，用户满意度显著提升。</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本标准的基础性指标，包括了</w:t>
      </w:r>
      <w:r>
        <w:rPr>
          <w:rFonts w:hint="eastAsia" w:ascii="仿宋" w:hAnsi="仿宋" w:eastAsia="仿宋" w:cs="仿宋"/>
          <w:sz w:val="28"/>
          <w:szCs w:val="28"/>
          <w:lang w:val="en-US" w:eastAsia="zh-CN"/>
        </w:rPr>
        <w:t>结构和材料、</w:t>
      </w:r>
      <w:r>
        <w:rPr>
          <w:rFonts w:hint="eastAsia" w:ascii="仿宋" w:hAnsi="仿宋" w:eastAsia="仿宋" w:cs="仿宋"/>
          <w:sz w:val="28"/>
          <w:szCs w:val="28"/>
          <w:lang w:val="zh-CN" w:eastAsia="zh-CN"/>
        </w:rPr>
        <w:t>外观、蒸发器结霜、门和盖的密封、制冷系统安全、机械安全和电气安全</w:t>
      </w:r>
      <w:r>
        <w:rPr>
          <w:rFonts w:hint="eastAsia" w:ascii="仿宋" w:hAnsi="仿宋" w:eastAsia="仿宋" w:cs="仿宋"/>
          <w:sz w:val="28"/>
          <w:szCs w:val="28"/>
          <w:lang w:eastAsia="zh-CN"/>
        </w:rPr>
        <w:t>等指标；关键性指标，包括了</w:t>
      </w:r>
      <w:r>
        <w:rPr>
          <w:rFonts w:hint="eastAsia" w:ascii="仿宋" w:hAnsi="仿宋" w:eastAsia="仿宋" w:cs="仿宋"/>
          <w:sz w:val="28"/>
          <w:szCs w:val="28"/>
          <w:lang w:val="zh-CN" w:eastAsia="zh-CN"/>
        </w:rPr>
        <w:t>制冷系统的密封性、耗电量、噪声、耐电压波动性能、启动性能、速冻性能降温</w:t>
      </w:r>
      <w:r>
        <w:rPr>
          <w:rFonts w:hint="eastAsia" w:ascii="仿宋" w:hAnsi="仿宋" w:eastAsia="仿宋" w:cs="仿宋"/>
          <w:sz w:val="28"/>
          <w:szCs w:val="28"/>
          <w:lang w:eastAsia="zh-CN"/>
        </w:rPr>
        <w:t>等指标；创新性（新增）指标，包括了</w:t>
      </w:r>
      <w:r>
        <w:rPr>
          <w:rFonts w:hint="eastAsia" w:ascii="仿宋" w:hAnsi="仿宋" w:eastAsia="仿宋" w:cs="仿宋"/>
          <w:sz w:val="28"/>
          <w:szCs w:val="28"/>
          <w:lang w:val="zh-CN" w:eastAsia="zh-CN"/>
        </w:rPr>
        <w:t>空载降温、电磁兼容、与食品接触材料安全、抗菌、限用物质、制冷剂类型、智能化功能</w:t>
      </w:r>
      <w:r>
        <w:rPr>
          <w:rFonts w:hint="eastAsia" w:ascii="仿宋" w:hAnsi="仿宋" w:eastAsia="仿宋" w:cs="仿宋"/>
          <w:sz w:val="28"/>
          <w:szCs w:val="28"/>
          <w:lang w:eastAsia="zh-CN"/>
        </w:rPr>
        <w:t>等指标。</w:t>
      </w:r>
    </w:p>
    <w:p>
      <w:pPr>
        <w:autoSpaceDE/>
        <w:autoSpaceDN/>
        <w:spacing w:after="120" w:line="360" w:lineRule="auto"/>
        <w:ind w:firstLine="562" w:firstLineChars="20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标准指标比对表</w:t>
      </w:r>
    </w:p>
    <w:tbl>
      <w:tblPr>
        <w:tblStyle w:val="10"/>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86"/>
        <w:gridCol w:w="1044"/>
        <w:gridCol w:w="1326"/>
        <w:gridCol w:w="478"/>
        <w:gridCol w:w="658"/>
        <w:gridCol w:w="1288"/>
        <w:gridCol w:w="1052"/>
        <w:gridCol w:w="1365"/>
        <w:gridCol w:w="975"/>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blHeader/>
          <w:jc w:val="center"/>
        </w:trPr>
        <w:tc>
          <w:tcPr>
            <w:tcW w:w="30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指标</w:t>
            </w:r>
          </w:p>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类型</w:t>
            </w:r>
          </w:p>
        </w:tc>
        <w:tc>
          <w:tcPr>
            <w:tcW w:w="54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r>
              <w:rPr>
                <w:rFonts w:hint="eastAsia" w:ascii="宋体" w:hAnsi="宋体" w:cs="宋体"/>
                <w:spacing w:val="0"/>
                <w:sz w:val="18"/>
                <w:szCs w:val="18"/>
                <w:shd w:val="clear" w:color="auto" w:fill="auto"/>
                <w:lang w:val="zh-CN"/>
              </w:rPr>
              <w:t>指标项目</w:t>
            </w:r>
          </w:p>
        </w:tc>
        <w:tc>
          <w:tcPr>
            <w:tcW w:w="1955" w:type="pct"/>
            <w:gridSpan w:val="4"/>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eastAsia="zh-CN"/>
              </w:rPr>
              <w:t>佛山</w:t>
            </w:r>
            <w:r>
              <w:rPr>
                <w:rFonts w:hint="eastAsia" w:ascii="宋体" w:hAnsi="宋体" w:eastAsia="宋体" w:cs="宋体"/>
                <w:spacing w:val="0"/>
                <w:sz w:val="18"/>
                <w:szCs w:val="18"/>
                <w:shd w:val="clear" w:color="auto" w:fill="auto"/>
                <w:lang w:val="zh-CN" w:eastAsia="zh-CN"/>
              </w:rPr>
              <w:t>标准</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T/FSS XX</w:t>
            </w:r>
            <w:r>
              <w:rPr>
                <w:rFonts w:hint="eastAsia" w:ascii="宋体" w:hAnsi="宋体" w:cs="宋体"/>
                <w:spacing w:val="0"/>
                <w:sz w:val="18"/>
                <w:szCs w:val="18"/>
                <w:shd w:val="clear" w:color="auto" w:fill="auto"/>
                <w:lang w:eastAsia="zh-CN"/>
              </w:rPr>
              <w:t>—</w:t>
            </w:r>
            <w:r>
              <w:rPr>
                <w:rFonts w:hint="eastAsia" w:ascii="宋体" w:hAnsi="宋体" w:eastAsia="宋体" w:cs="宋体"/>
                <w:spacing w:val="0"/>
                <w:sz w:val="18"/>
                <w:szCs w:val="18"/>
                <w:shd w:val="clear" w:color="auto" w:fill="auto"/>
                <w:lang w:eastAsia="zh-CN"/>
              </w:rPr>
              <w:t>202</w:t>
            </w:r>
            <w:r>
              <w:rPr>
                <w:rFonts w:hint="eastAsia" w:ascii="宋体" w:hAnsi="宋体" w:cs="宋体"/>
                <w:spacing w:val="0"/>
                <w:sz w:val="18"/>
                <w:szCs w:val="18"/>
                <w:shd w:val="clear" w:color="auto" w:fill="auto"/>
                <w:lang w:val="en-US" w:eastAsia="zh-CN"/>
              </w:rPr>
              <w:t>5</w:t>
            </w:r>
          </w:p>
        </w:tc>
        <w:tc>
          <w:tcPr>
            <w:tcW w:w="1769" w:type="pct"/>
            <w:gridSpan w:val="3"/>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国家标准</w:t>
            </w:r>
          </w:p>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SB/T 1</w:t>
            </w:r>
            <w:r>
              <w:rPr>
                <w:rFonts w:hint="eastAsia" w:ascii="宋体" w:hAnsi="宋体"/>
                <w:spacing w:val="0"/>
                <w:sz w:val="18"/>
                <w:szCs w:val="18"/>
                <w:shd w:val="clear" w:color="auto" w:fill="auto"/>
                <w:lang w:val="en-US" w:eastAsia="zh-CN"/>
              </w:rPr>
              <w:t>1048</w:t>
            </w:r>
            <w:r>
              <w:rPr>
                <w:rFonts w:hint="eastAsia" w:ascii="宋体" w:hAnsi="宋体"/>
                <w:spacing w:val="0"/>
                <w:sz w:val="18"/>
                <w:szCs w:val="18"/>
                <w:shd w:val="clear" w:color="auto" w:fill="auto"/>
                <w:lang w:eastAsia="zh-CN"/>
              </w:rPr>
              <w:t>—201</w:t>
            </w:r>
            <w:r>
              <w:rPr>
                <w:rFonts w:hint="eastAsia" w:ascii="宋体" w:hAnsi="宋体"/>
                <w:spacing w:val="0"/>
                <w:sz w:val="18"/>
                <w:szCs w:val="18"/>
                <w:shd w:val="clear" w:color="auto" w:fill="auto"/>
                <w:lang w:val="en-US" w:eastAsia="zh-CN"/>
              </w:rPr>
              <w:t>3</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kern w:val="2"/>
                <w:sz w:val="18"/>
                <w:szCs w:val="18"/>
                <w:shd w:val="clear" w:color="auto" w:fill="auto"/>
                <w:lang w:eastAsia="zh-CN"/>
              </w:rPr>
              <w:t>比对情况及说明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default" w:ascii="宋体" w:hAnsi="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en-US" w:eastAsia="zh-CN"/>
              </w:rPr>
              <w:t>基础性指标</w:t>
            </w:r>
          </w:p>
        </w:tc>
        <w:tc>
          <w:tcPr>
            <w:tcW w:w="544" w:type="pct"/>
            <w:shd w:val="clear" w:color="auto" w:fill="auto"/>
            <w:vAlign w:val="center"/>
          </w:tcPr>
          <w:p>
            <w:pPr>
              <w:keepNext w:val="0"/>
              <w:keepLines w:val="0"/>
              <w:pageBreakBefore w:val="0"/>
              <w:kinsoku/>
              <w:wordWrap/>
              <w:overflowPunct/>
              <w:topLinePunct w:val="0"/>
              <w:bidi w:val="0"/>
              <w:jc w:val="center"/>
              <w:textAlignment w:val="auto"/>
              <w:rPr>
                <w:rFonts w:hint="default" w:ascii="宋体" w:hAnsi="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en-US" w:eastAsia="zh-CN"/>
              </w:rPr>
              <w:t>结构和材料</w:t>
            </w:r>
          </w:p>
        </w:tc>
        <w:tc>
          <w:tcPr>
            <w:tcW w:w="1955"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5.1.1</w:t>
            </w:r>
            <w:r>
              <w:rPr>
                <w:rFonts w:hint="eastAsia" w:ascii="宋体" w:hAnsi="宋体" w:eastAsia="宋体" w:cs="宋体"/>
                <w:color w:val="auto"/>
                <w:sz w:val="18"/>
                <w:szCs w:val="18"/>
              </w:rPr>
              <w:t>快速冷却柜和快速冻结柜品所用的材料、配套件均应符合国家标准、行业标准的规定。</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5.1.2</w:t>
            </w:r>
            <w:r>
              <w:rPr>
                <w:rFonts w:hint="eastAsia" w:ascii="宋体" w:hAnsi="宋体" w:eastAsia="宋体" w:cs="宋体"/>
                <w:color w:val="auto"/>
                <w:sz w:val="18"/>
                <w:szCs w:val="18"/>
              </w:rPr>
              <w:t>所用材料应满足食品卫生要求并保证安全，正常使用条件下，与食品接触的材料应无毒无污染,接触面的各类材料如不锈钢、铝合金、焊接材料等金属原材料均应符合GB 16798</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2023</w:t>
            </w:r>
            <w:r>
              <w:rPr>
                <w:rFonts w:hint="eastAsia" w:ascii="宋体" w:hAnsi="宋体" w:eastAsia="宋体" w:cs="宋体"/>
                <w:color w:val="auto"/>
                <w:sz w:val="18"/>
                <w:szCs w:val="18"/>
                <w:lang w:eastAsia="zh-CN"/>
              </w:rPr>
              <w:t>中</w:t>
            </w:r>
            <w:r>
              <w:rPr>
                <w:rFonts w:hint="eastAsia" w:ascii="宋体" w:hAnsi="宋体" w:eastAsia="宋体" w:cs="宋体"/>
                <w:color w:val="auto"/>
                <w:sz w:val="18"/>
                <w:szCs w:val="18"/>
              </w:rPr>
              <w:t>第4章有关规定。</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5.1.3</w:t>
            </w:r>
            <w:r>
              <w:rPr>
                <w:rFonts w:hint="eastAsia" w:ascii="宋体" w:hAnsi="宋体" w:eastAsia="宋体" w:cs="宋体"/>
                <w:color w:val="auto"/>
                <w:sz w:val="18"/>
                <w:szCs w:val="18"/>
              </w:rPr>
              <w:t>快速冷却柜和快速冻结柜产品的金属材质部分应具有耐腐性。内壁及暴露在低温环境中的材料、焊料及焊缝等，其机械性能和物理性能应能保证产品正常使用。</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5.1.4</w:t>
            </w:r>
            <w:r>
              <w:rPr>
                <w:rFonts w:hint="eastAsia" w:ascii="宋体" w:hAnsi="宋体" w:eastAsia="宋体" w:cs="宋体"/>
                <w:color w:val="auto"/>
                <w:sz w:val="18"/>
                <w:szCs w:val="18"/>
              </w:rPr>
              <w:t>快速冷却柜和快速冻结柜产品内、外表面应耐磨且易于清洁。</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rPr>
              <w:t>5.1.5</w:t>
            </w:r>
            <w:r>
              <w:rPr>
                <w:rFonts w:hint="eastAsia" w:ascii="宋体" w:hAnsi="宋体" w:eastAsia="宋体" w:cs="宋体"/>
                <w:color w:val="auto"/>
                <w:sz w:val="18"/>
                <w:szCs w:val="18"/>
                <w:lang w:eastAsia="zh-CN"/>
              </w:rPr>
              <w:t>其他结构和材料要求应符合</w:t>
            </w:r>
            <w:r>
              <w:rPr>
                <w:rFonts w:hint="eastAsia" w:ascii="宋体" w:hAnsi="宋体" w:eastAsia="宋体" w:cs="宋体"/>
                <w:color w:val="auto"/>
                <w:sz w:val="18"/>
                <w:szCs w:val="18"/>
              </w:rPr>
              <w:t>SB/T</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11048—2013</w:t>
            </w:r>
            <w:r>
              <w:rPr>
                <w:rFonts w:hint="eastAsia" w:ascii="宋体" w:hAnsi="宋体" w:eastAsia="宋体" w:cs="宋体"/>
                <w:color w:val="auto"/>
                <w:sz w:val="18"/>
                <w:szCs w:val="18"/>
                <w:lang w:eastAsia="zh-CN"/>
              </w:rPr>
              <w:t>中</w:t>
            </w:r>
            <w:r>
              <w:rPr>
                <w:rFonts w:hint="eastAsia" w:ascii="宋体" w:hAnsi="宋体" w:eastAsia="宋体" w:cs="宋体"/>
                <w:color w:val="auto"/>
                <w:sz w:val="18"/>
                <w:szCs w:val="18"/>
                <w:lang w:val="en-US" w:eastAsia="zh-CN"/>
              </w:rPr>
              <w:t>5.1的要求。</w:t>
            </w:r>
          </w:p>
        </w:tc>
        <w:tc>
          <w:tcPr>
            <w:tcW w:w="1769"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default"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SB</w:t>
            </w:r>
            <w:r>
              <w:rPr>
                <w:rFonts w:hint="default"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11048—2013</w:t>
            </w:r>
            <w:r>
              <w:rPr>
                <w:rFonts w:hint="eastAsia" w:ascii="宋体" w:hAnsi="宋体" w:eastAsia="宋体" w:cs="宋体"/>
                <w:color w:val="auto"/>
                <w:sz w:val="18"/>
                <w:szCs w:val="18"/>
                <w:lang w:val="en-US" w:eastAsia="zh-CN"/>
              </w:rPr>
              <w:t>中5.1的规定。</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default" w:ascii="宋体" w:hAnsi="宋体" w:eastAsia="宋体" w:cs="Times New Roman"/>
                <w:spacing w:val="0"/>
                <w:sz w:val="18"/>
                <w:szCs w:val="18"/>
                <w:shd w:val="clear" w:color="auto" w:fill="auto"/>
                <w:lang w:val="en-US" w:eastAsia="zh-CN" w:bidi="ar-SA"/>
              </w:rPr>
            </w:pPr>
            <w:r>
              <w:rPr>
                <w:rFonts w:hint="eastAsia" w:ascii="宋体" w:hAnsi="宋体" w:cs="Times New Roman"/>
                <w:spacing w:val="0"/>
                <w:sz w:val="18"/>
                <w:szCs w:val="18"/>
                <w:shd w:val="clear" w:color="auto" w:fill="auto"/>
                <w:lang w:val="en-US" w:eastAsia="zh-CN" w:bidi="ar-SA"/>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54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bidi="ar-SA"/>
              </w:rPr>
            </w:pPr>
            <w:r>
              <w:rPr>
                <w:rFonts w:hint="eastAsia" w:ascii="宋体" w:hAnsi="宋体" w:cs="宋体"/>
                <w:spacing w:val="0"/>
                <w:sz w:val="18"/>
                <w:szCs w:val="18"/>
                <w:shd w:val="clear" w:color="auto" w:fill="auto"/>
                <w:lang w:val="zh-CN"/>
              </w:rPr>
              <w:t>外观</w:t>
            </w:r>
          </w:p>
        </w:tc>
        <w:tc>
          <w:tcPr>
            <w:tcW w:w="1955"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rPr>
              <w:t>标准中5.</w:t>
            </w:r>
            <w:r>
              <w:rPr>
                <w:rFonts w:hint="eastAsia" w:ascii="宋体" w:hAnsi="宋体" w:cs="宋体"/>
                <w:color w:val="auto"/>
                <w:sz w:val="18"/>
                <w:szCs w:val="18"/>
                <w:lang w:val="en-US" w:eastAsia="zh-CN"/>
              </w:rPr>
              <w:t>2</w:t>
            </w:r>
            <w:r>
              <w:rPr>
                <w:rFonts w:hint="eastAsia" w:ascii="宋体" w:hAnsi="宋体" w:eastAsia="宋体" w:cs="宋体"/>
                <w:color w:val="auto"/>
                <w:sz w:val="18"/>
                <w:szCs w:val="18"/>
                <w:lang w:val="en-US" w:eastAsia="zh-CN"/>
              </w:rPr>
              <w:t>规定的外观要求</w:t>
            </w:r>
          </w:p>
        </w:tc>
        <w:tc>
          <w:tcPr>
            <w:tcW w:w="1769"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eastAsia="zh-CN"/>
              </w:rPr>
            </w:pPr>
            <w:r>
              <w:rPr>
                <w:rFonts w:hint="eastAsia" w:ascii="宋体" w:hAnsi="宋体" w:cs="宋体"/>
                <w:color w:val="auto"/>
                <w:sz w:val="18"/>
                <w:szCs w:val="18"/>
                <w:lang w:eastAsia="zh-CN"/>
              </w:rPr>
              <w:t>——</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85"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54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r>
              <w:rPr>
                <w:rFonts w:hint="eastAsia" w:ascii="宋体" w:hAnsi="宋体" w:cs="宋体"/>
                <w:spacing w:val="0"/>
                <w:sz w:val="18"/>
                <w:szCs w:val="18"/>
                <w:shd w:val="clear" w:color="auto" w:fill="auto"/>
                <w:lang w:val="zh-CN"/>
              </w:rPr>
              <w:t>蒸发器结霜</w:t>
            </w:r>
          </w:p>
        </w:tc>
        <w:tc>
          <w:tcPr>
            <w:tcW w:w="1955"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5.5</w:t>
            </w:r>
            <w:r>
              <w:rPr>
                <w:rFonts w:hint="eastAsia" w:ascii="宋体" w:hAnsi="宋体" w:eastAsia="宋体" w:cs="宋体"/>
                <w:color w:val="auto"/>
                <w:sz w:val="18"/>
                <w:szCs w:val="18"/>
              </w:rPr>
              <w:t>蒸发器的设计应防止快速冷却柜和快速冻结柜在正常使用时受到损坏。热交换器表面应采用耐腐蚀材料制造,或表面采用防锈、无毒涂层,以承受在结霜与除霜状态交替变化下的温度变化。融霜完毕,快速冷却柜和快速冻结柜应能自动恢复正常运行,且蒸发器表面及排水管路中不应残留影响正常工作性能的霜和冰。</w:t>
            </w:r>
          </w:p>
        </w:tc>
        <w:tc>
          <w:tcPr>
            <w:tcW w:w="1769"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5.2.3</w:t>
            </w:r>
            <w:r>
              <w:rPr>
                <w:rFonts w:hint="eastAsia" w:ascii="宋体" w:hAnsi="宋体" w:eastAsia="宋体" w:cs="宋体"/>
                <w:color w:val="auto"/>
                <w:sz w:val="18"/>
                <w:szCs w:val="18"/>
              </w:rPr>
              <w:t>蒸发器的设计应防止快速冷却柜和快速冻结柜在正常使用时受到损坏。热交换器表面应采用耐腐蚀材料制造,或表面采用防锈、无毒涂层,以承受在结霜与除霜状态交替变化下的温度变化。融霜完毕,快速冷却柜和快速冻结柜应能自动恢复正常运行,且蒸发器表面及排水管路中不应残留影响正常工作性能的霜和冰。</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54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spacing w:val="0"/>
                <w:sz w:val="18"/>
                <w:szCs w:val="18"/>
                <w:shd w:val="clear" w:color="auto" w:fill="auto"/>
                <w:lang w:val="zh-CN"/>
              </w:rPr>
            </w:pPr>
            <w:r>
              <w:rPr>
                <w:rFonts w:hint="eastAsia" w:ascii="宋体" w:hAnsi="宋体" w:cs="宋体"/>
                <w:spacing w:val="0"/>
                <w:sz w:val="18"/>
                <w:szCs w:val="18"/>
                <w:shd w:val="clear" w:color="auto" w:fill="auto"/>
                <w:lang w:val="zh-CN"/>
              </w:rPr>
              <w:t>门和盖的密封</w:t>
            </w:r>
          </w:p>
        </w:tc>
        <w:tc>
          <w:tcPr>
            <w:tcW w:w="1955"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5.10</w:t>
            </w:r>
            <w:r>
              <w:rPr>
                <w:rFonts w:hint="eastAsia" w:ascii="宋体" w:hAnsi="宋体" w:eastAsia="宋体" w:cs="宋体"/>
                <w:color w:val="auto"/>
                <w:sz w:val="18"/>
                <w:szCs w:val="18"/>
              </w:rPr>
              <w:t>所有的门和盖应密封以保证制冷空间封闭,防止环境空气非正常渗人。进行试验</w:t>
            </w:r>
            <w:r>
              <w:rPr>
                <w:rFonts w:hint="eastAsia" w:ascii="宋体" w:hAnsi="宋体" w:eastAsia="宋体" w:cs="宋体"/>
                <w:color w:val="auto"/>
                <w:sz w:val="18"/>
                <w:szCs w:val="18"/>
                <w:lang w:eastAsia="zh-CN"/>
              </w:rPr>
              <w:t>时</w:t>
            </w:r>
            <w:r>
              <w:rPr>
                <w:rFonts w:hint="eastAsia" w:ascii="宋体" w:hAnsi="宋体" w:eastAsia="宋体" w:cs="宋体"/>
                <w:color w:val="auto"/>
                <w:sz w:val="18"/>
                <w:szCs w:val="18"/>
              </w:rPr>
              <w:t>,纸带不能自由下落</w:t>
            </w:r>
          </w:p>
        </w:tc>
        <w:tc>
          <w:tcPr>
            <w:tcW w:w="1769"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5.2.8</w:t>
            </w:r>
            <w:r>
              <w:rPr>
                <w:rFonts w:hint="eastAsia" w:ascii="宋体" w:hAnsi="宋体" w:eastAsia="宋体" w:cs="宋体"/>
                <w:color w:val="auto"/>
                <w:sz w:val="18"/>
                <w:szCs w:val="18"/>
              </w:rPr>
              <w:t>所有的门和盖应密封以保证制冷空间封闭,防止环境空气非正常渗人。进行试验</w:t>
            </w:r>
            <w:r>
              <w:rPr>
                <w:rFonts w:hint="eastAsia" w:ascii="宋体" w:hAnsi="宋体" w:eastAsia="宋体" w:cs="宋体"/>
                <w:color w:val="auto"/>
                <w:sz w:val="18"/>
                <w:szCs w:val="18"/>
                <w:lang w:eastAsia="zh-CN"/>
              </w:rPr>
              <w:t>时</w:t>
            </w:r>
            <w:r>
              <w:rPr>
                <w:rFonts w:hint="eastAsia" w:ascii="宋体" w:hAnsi="宋体" w:eastAsia="宋体" w:cs="宋体"/>
                <w:color w:val="auto"/>
                <w:sz w:val="18"/>
                <w:szCs w:val="18"/>
              </w:rPr>
              <w:t>,纸带不能自由下落</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54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spacing w:val="0"/>
                <w:sz w:val="18"/>
                <w:szCs w:val="18"/>
                <w:shd w:val="clear" w:color="auto" w:fill="auto"/>
                <w:lang w:val="zh-CN"/>
              </w:rPr>
            </w:pPr>
            <w:r>
              <w:rPr>
                <w:rFonts w:hint="eastAsia" w:ascii="宋体" w:hAnsi="宋体" w:cs="宋体"/>
                <w:spacing w:val="0"/>
                <w:sz w:val="18"/>
                <w:szCs w:val="18"/>
                <w:shd w:val="clear" w:color="auto" w:fill="auto"/>
                <w:lang w:val="zh-CN"/>
              </w:rPr>
              <w:t>制冷系统安全</w:t>
            </w:r>
          </w:p>
        </w:tc>
        <w:tc>
          <w:tcPr>
            <w:tcW w:w="1955"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5.11.1</w:t>
            </w:r>
            <w:r>
              <w:rPr>
                <w:rFonts w:hint="eastAsia" w:ascii="宋体" w:hAnsi="宋体" w:eastAsia="宋体" w:cs="宋体"/>
                <w:color w:val="auto"/>
                <w:sz w:val="18"/>
                <w:szCs w:val="18"/>
              </w:rPr>
              <w:t>快速冷却柜和快速冻结柜配有的机械制冷系统安全性能应符合GB 9237的有关</w:t>
            </w:r>
            <w:r>
              <w:rPr>
                <w:rFonts w:hint="eastAsia" w:ascii="宋体" w:hAnsi="宋体" w:eastAsia="宋体" w:cs="宋体"/>
                <w:color w:val="auto"/>
                <w:sz w:val="18"/>
                <w:szCs w:val="18"/>
                <w:lang w:eastAsia="zh-CN"/>
              </w:rPr>
              <w:t>要求</w:t>
            </w:r>
          </w:p>
        </w:tc>
        <w:tc>
          <w:tcPr>
            <w:tcW w:w="1769"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5.3.1</w:t>
            </w:r>
            <w:r>
              <w:rPr>
                <w:rFonts w:hint="eastAsia" w:ascii="宋体" w:hAnsi="宋体" w:eastAsia="宋体" w:cs="宋体"/>
                <w:color w:val="auto"/>
                <w:sz w:val="18"/>
                <w:szCs w:val="18"/>
              </w:rPr>
              <w:t>快速冷却柜和快速冻结柜配有的机械制冷系统安全性能应符合GB 9237的有关</w:t>
            </w:r>
            <w:r>
              <w:rPr>
                <w:rFonts w:hint="eastAsia" w:ascii="宋体" w:hAnsi="宋体" w:eastAsia="宋体" w:cs="宋体"/>
                <w:color w:val="auto"/>
                <w:sz w:val="18"/>
                <w:szCs w:val="18"/>
                <w:lang w:eastAsia="zh-CN"/>
              </w:rPr>
              <w:t>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54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spacing w:val="0"/>
                <w:sz w:val="18"/>
                <w:szCs w:val="18"/>
                <w:shd w:val="clear" w:color="auto" w:fill="auto"/>
                <w:lang w:val="zh-CN"/>
              </w:rPr>
            </w:pPr>
            <w:r>
              <w:rPr>
                <w:rFonts w:hint="eastAsia" w:ascii="宋体" w:hAnsi="宋体" w:cs="宋体"/>
                <w:spacing w:val="0"/>
                <w:sz w:val="18"/>
                <w:szCs w:val="18"/>
                <w:shd w:val="clear" w:color="auto" w:fill="auto"/>
                <w:lang w:val="zh-CN"/>
              </w:rPr>
              <w:t>机械安全和电气安全</w:t>
            </w:r>
          </w:p>
        </w:tc>
        <w:tc>
          <w:tcPr>
            <w:tcW w:w="1955"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5.11.2</w:t>
            </w:r>
            <w:r>
              <w:rPr>
                <w:rFonts w:hint="eastAsia" w:ascii="宋体" w:hAnsi="宋体" w:eastAsia="宋体" w:cs="宋体"/>
                <w:color w:val="auto"/>
                <w:sz w:val="18"/>
                <w:szCs w:val="18"/>
              </w:rPr>
              <w:t>快速冷却柜和快速冻结柜应符合的GB</w:t>
            </w:r>
            <w:r>
              <w:rPr>
                <w:rFonts w:hint="default" w:ascii="宋体" w:hAnsi="宋体" w:eastAsia="宋体" w:cs="宋体"/>
                <w:color w:val="auto"/>
                <w:sz w:val="18"/>
                <w:szCs w:val="18"/>
                <w:lang w:val="en-US"/>
              </w:rPr>
              <w:t>/T</w:t>
            </w:r>
            <w:r>
              <w:rPr>
                <w:rFonts w:hint="eastAsia" w:ascii="宋体" w:hAnsi="宋体" w:eastAsia="宋体" w:cs="宋体"/>
                <w:color w:val="auto"/>
                <w:sz w:val="18"/>
                <w:szCs w:val="18"/>
              </w:rPr>
              <w:t xml:space="preserve"> 4706.1、SB 10424的要求</w:t>
            </w:r>
          </w:p>
        </w:tc>
        <w:tc>
          <w:tcPr>
            <w:tcW w:w="1769"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rPr>
              <w:t>快速冷却柜和快速冻结柜应符合的SB 10424的要求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关键性</w:t>
            </w:r>
          </w:p>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指标</w:t>
            </w:r>
          </w:p>
        </w:tc>
        <w:tc>
          <w:tcPr>
            <w:tcW w:w="54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spacing w:val="0"/>
                <w:sz w:val="18"/>
                <w:szCs w:val="18"/>
                <w:shd w:val="clear" w:color="auto" w:fill="auto"/>
                <w:lang w:val="zh-CN"/>
              </w:rPr>
            </w:pPr>
            <w:r>
              <w:rPr>
                <w:rFonts w:hint="eastAsia" w:ascii="宋体" w:hAnsi="宋体" w:cs="宋体"/>
                <w:spacing w:val="0"/>
                <w:sz w:val="18"/>
                <w:szCs w:val="18"/>
                <w:shd w:val="clear" w:color="auto" w:fill="auto"/>
                <w:lang w:val="zh-CN"/>
              </w:rPr>
              <w:t>制冷系统的密封性</w:t>
            </w:r>
          </w:p>
        </w:tc>
        <w:tc>
          <w:tcPr>
            <w:tcW w:w="1955"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5.3</w:t>
            </w:r>
            <w:r>
              <w:rPr>
                <w:rFonts w:hint="eastAsia" w:ascii="宋体" w:hAnsi="宋体" w:eastAsia="宋体" w:cs="宋体"/>
                <w:color w:val="auto"/>
                <w:sz w:val="18"/>
                <w:szCs w:val="18"/>
              </w:rPr>
              <w:t>快速冷却柜和快速冻结柜的制冷系统(包括系统中各零部件)不应有制冷剂泄漏。进行单点检漏时,制冷剂年泄漏量不大于</w:t>
            </w:r>
            <w:r>
              <w:rPr>
                <w:rFonts w:hint="default" w:ascii="宋体" w:hAnsi="宋体" w:cs="宋体"/>
                <w:color w:val="auto"/>
                <w:sz w:val="18"/>
                <w:szCs w:val="18"/>
                <w:lang w:val="en-US"/>
              </w:rPr>
              <w:t>2</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g</w:t>
            </w:r>
          </w:p>
        </w:tc>
        <w:tc>
          <w:tcPr>
            <w:tcW w:w="1769"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5.2.1</w:t>
            </w:r>
            <w:r>
              <w:rPr>
                <w:rFonts w:hint="eastAsia" w:ascii="宋体" w:hAnsi="宋体" w:eastAsia="宋体" w:cs="宋体"/>
                <w:color w:val="auto"/>
                <w:sz w:val="18"/>
                <w:szCs w:val="18"/>
              </w:rPr>
              <w:t>快速冷却柜和快速冻结柜的制冷系统(包括系统中各零部件)不应有制冷剂泄漏。进行单点检漏时,制冷剂年泄漏量不大于3</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g</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en-US"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54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r>
              <w:rPr>
                <w:rFonts w:hint="eastAsia" w:ascii="宋体" w:hAnsi="宋体" w:cs="宋体"/>
                <w:spacing w:val="0"/>
                <w:sz w:val="18"/>
                <w:szCs w:val="18"/>
                <w:shd w:val="clear" w:color="auto" w:fill="auto"/>
                <w:lang w:val="zh-CN"/>
              </w:rPr>
              <w:t>耗电量</w:t>
            </w:r>
          </w:p>
        </w:tc>
        <w:tc>
          <w:tcPr>
            <w:tcW w:w="1955" w:type="pct"/>
            <w:gridSpan w:val="4"/>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实测耗电量不应大于额定值的110%</w:t>
            </w:r>
          </w:p>
        </w:tc>
        <w:tc>
          <w:tcPr>
            <w:tcW w:w="1769"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实测耗电量不应大于额定值的110%</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default" w:ascii="宋体" w:hAnsi="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6"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544"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zh-CN"/>
              </w:rPr>
              <w:t>噪声</w:t>
            </w:r>
          </w:p>
        </w:tc>
        <w:tc>
          <w:tcPr>
            <w:tcW w:w="1955"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快速冷却柜和快速冻结柜正常运行,试验时, 快速冷却柜和快速冻结柜其噪声声压级不得高于表2规定的数值。快速冷却柜和快速冻结柜及机组运行时的噪声对周围环境的影响应符合GB 3096的规定。其运行时的噪声超过GB 3096要求时,应采取措施隔离噪声,使之满足GB 3096要求</w:t>
            </w:r>
          </w:p>
        </w:tc>
        <w:tc>
          <w:tcPr>
            <w:tcW w:w="1769"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快速冷却柜和快速冻结柜正常运行,试验时, 快速冷却柜和快速冻结柜其噪声声压级不得高于表2规定的数值。快速冷却柜和快速冻结柜及机组运行时的噪声对周围环境的影响应符合GB 3096的规定。其运行时的噪声超过GB 3096要求时,应采取措施隔离噪声,使之满足GB 3096要求</w:t>
            </w:r>
          </w:p>
        </w:tc>
        <w:tc>
          <w:tcPr>
            <w:tcW w:w="424"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3"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54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en-US" w:eastAsia="zh-CN"/>
              </w:rPr>
            </w:pPr>
          </w:p>
        </w:tc>
        <w:tc>
          <w:tcPr>
            <w:tcW w:w="691" w:type="pct"/>
            <w:vMerge w:val="restar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冷凝机组及风扇</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val="zh-CN" w:eastAsia="zh-CN"/>
              </w:rPr>
              <w:t>kW</w:t>
            </w:r>
          </w:p>
        </w:tc>
        <w:tc>
          <w:tcPr>
            <w:tcW w:w="1264"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噪声声压级，dB（A）</w:t>
            </w:r>
          </w:p>
        </w:tc>
        <w:tc>
          <w:tcPr>
            <w:tcW w:w="548" w:type="pct"/>
            <w:vMerge w:val="restar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冷凝机组及风扇功率</w:t>
            </w:r>
            <w:r>
              <w:rPr>
                <w:rFonts w:hint="eastAsia" w:ascii="宋体" w:hAnsi="宋体" w:cs="宋体"/>
                <w:color w:val="auto"/>
                <w:sz w:val="18"/>
                <w:szCs w:val="18"/>
                <w:lang w:val="en-US" w:eastAsia="zh-CN"/>
              </w:rPr>
              <w:t>/</w:t>
            </w:r>
            <w:r>
              <w:rPr>
                <w:rFonts w:hint="eastAsia" w:ascii="宋体" w:hAnsi="宋体" w:eastAsia="宋体" w:cs="宋体"/>
                <w:color w:val="auto"/>
                <w:sz w:val="18"/>
                <w:szCs w:val="18"/>
                <w:lang w:val="zh-CN" w:eastAsia="zh-CN"/>
              </w:rPr>
              <w:t>kW</w:t>
            </w:r>
          </w:p>
        </w:tc>
        <w:tc>
          <w:tcPr>
            <w:tcW w:w="1220"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噪声声压级，dB（A）</w:t>
            </w:r>
          </w:p>
        </w:tc>
        <w:tc>
          <w:tcPr>
            <w:tcW w:w="42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3"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691" w:type="pct"/>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p>
        </w:tc>
        <w:tc>
          <w:tcPr>
            <w:tcW w:w="592"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不带冷却风扇的冷凝机组</w:t>
            </w:r>
          </w:p>
        </w:tc>
        <w:tc>
          <w:tcPr>
            <w:tcW w:w="67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带冷却风扇的冷凝机组</w:t>
            </w:r>
          </w:p>
        </w:tc>
        <w:tc>
          <w:tcPr>
            <w:tcW w:w="548" w:type="pct"/>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p>
        </w:tc>
        <w:tc>
          <w:tcPr>
            <w:tcW w:w="71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不带冷却风扇的冷凝机组</w:t>
            </w:r>
          </w:p>
        </w:tc>
        <w:tc>
          <w:tcPr>
            <w:tcW w:w="50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带冷却风扇的冷凝机组</w:t>
            </w:r>
          </w:p>
        </w:tc>
        <w:tc>
          <w:tcPr>
            <w:tcW w:w="42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6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≤0.75</w:t>
            </w:r>
          </w:p>
        </w:tc>
        <w:tc>
          <w:tcPr>
            <w:tcW w:w="592"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≤60</w:t>
            </w:r>
          </w:p>
        </w:tc>
        <w:tc>
          <w:tcPr>
            <w:tcW w:w="67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≤62</w:t>
            </w:r>
          </w:p>
        </w:tc>
        <w:tc>
          <w:tcPr>
            <w:tcW w:w="54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≤0.75</w:t>
            </w:r>
          </w:p>
        </w:tc>
        <w:tc>
          <w:tcPr>
            <w:tcW w:w="71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62</w:t>
            </w:r>
          </w:p>
        </w:tc>
        <w:tc>
          <w:tcPr>
            <w:tcW w:w="50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≤6</w:t>
            </w:r>
            <w:r>
              <w:rPr>
                <w:rFonts w:hint="eastAsia" w:ascii="宋体" w:hAnsi="宋体" w:eastAsia="宋体" w:cs="宋体"/>
                <w:color w:val="auto"/>
                <w:sz w:val="18"/>
                <w:szCs w:val="18"/>
                <w:lang w:val="en-US" w:eastAsia="zh-CN"/>
              </w:rPr>
              <w:t>4</w:t>
            </w:r>
          </w:p>
        </w:tc>
        <w:tc>
          <w:tcPr>
            <w:tcW w:w="42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8"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6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＜0.75</w:t>
            </w:r>
            <w:bookmarkStart w:id="6" w:name="OLE_LINK21"/>
            <w:r>
              <w:rPr>
                <w:rFonts w:hint="eastAsia" w:ascii="宋体" w:hAnsi="宋体" w:eastAsia="宋体" w:cs="宋体"/>
                <w:color w:val="auto"/>
                <w:sz w:val="18"/>
                <w:szCs w:val="18"/>
              </w:rPr>
              <w:t>～</w:t>
            </w:r>
            <w:bookmarkEnd w:id="6"/>
            <w:r>
              <w:rPr>
                <w:rFonts w:hint="eastAsia" w:ascii="宋体" w:hAnsi="宋体" w:eastAsia="宋体" w:cs="宋体"/>
                <w:color w:val="auto"/>
                <w:sz w:val="18"/>
                <w:szCs w:val="18"/>
                <w:lang w:val="zh-CN" w:eastAsia="zh-CN"/>
              </w:rPr>
              <w:t>1.5</w:t>
            </w:r>
          </w:p>
        </w:tc>
        <w:tc>
          <w:tcPr>
            <w:tcW w:w="592"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≤61</w:t>
            </w:r>
          </w:p>
        </w:tc>
        <w:tc>
          <w:tcPr>
            <w:tcW w:w="67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≤63</w:t>
            </w:r>
          </w:p>
        </w:tc>
        <w:tc>
          <w:tcPr>
            <w:tcW w:w="54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＜0.75</w:t>
            </w:r>
            <w:r>
              <w:rPr>
                <w:rFonts w:hint="eastAsia" w:ascii="宋体" w:hAnsi="宋体" w:eastAsia="宋体" w:cs="宋体"/>
                <w:color w:val="auto"/>
                <w:sz w:val="18"/>
                <w:szCs w:val="18"/>
              </w:rPr>
              <w:t>～</w:t>
            </w:r>
            <w:r>
              <w:rPr>
                <w:rFonts w:hint="eastAsia" w:ascii="宋体" w:hAnsi="宋体" w:eastAsia="宋体" w:cs="宋体"/>
                <w:color w:val="auto"/>
                <w:sz w:val="18"/>
                <w:szCs w:val="18"/>
                <w:lang w:val="zh-CN" w:eastAsia="zh-CN"/>
              </w:rPr>
              <w:t>1.5</w:t>
            </w:r>
          </w:p>
        </w:tc>
        <w:tc>
          <w:tcPr>
            <w:tcW w:w="71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≤6</w:t>
            </w:r>
            <w:r>
              <w:rPr>
                <w:rFonts w:hint="eastAsia" w:ascii="宋体" w:hAnsi="宋体" w:eastAsia="宋体" w:cs="宋体"/>
                <w:color w:val="auto"/>
                <w:sz w:val="18"/>
                <w:szCs w:val="18"/>
                <w:lang w:val="en-US" w:eastAsia="zh-CN"/>
              </w:rPr>
              <w:t>3</w:t>
            </w:r>
          </w:p>
        </w:tc>
        <w:tc>
          <w:tcPr>
            <w:tcW w:w="50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≤6</w:t>
            </w:r>
            <w:r>
              <w:rPr>
                <w:rFonts w:hint="eastAsia" w:ascii="宋体" w:hAnsi="宋体" w:eastAsia="宋体" w:cs="宋体"/>
                <w:color w:val="auto"/>
                <w:sz w:val="18"/>
                <w:szCs w:val="18"/>
                <w:lang w:val="en-US" w:eastAsia="zh-CN"/>
              </w:rPr>
              <w:t>5</w:t>
            </w:r>
          </w:p>
        </w:tc>
        <w:tc>
          <w:tcPr>
            <w:tcW w:w="42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8"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6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1.5</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2.2</w:t>
            </w:r>
          </w:p>
        </w:tc>
        <w:tc>
          <w:tcPr>
            <w:tcW w:w="592"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≤63</w:t>
            </w:r>
          </w:p>
        </w:tc>
        <w:tc>
          <w:tcPr>
            <w:tcW w:w="67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≤65</w:t>
            </w:r>
          </w:p>
        </w:tc>
        <w:tc>
          <w:tcPr>
            <w:tcW w:w="54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1.5</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2.2</w:t>
            </w:r>
          </w:p>
        </w:tc>
        <w:tc>
          <w:tcPr>
            <w:tcW w:w="71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≤6</w:t>
            </w:r>
            <w:r>
              <w:rPr>
                <w:rFonts w:hint="eastAsia" w:ascii="宋体" w:hAnsi="宋体" w:eastAsia="宋体" w:cs="宋体"/>
                <w:color w:val="auto"/>
                <w:sz w:val="18"/>
                <w:szCs w:val="18"/>
                <w:lang w:val="en-US" w:eastAsia="zh-CN"/>
              </w:rPr>
              <w:t>5</w:t>
            </w:r>
          </w:p>
        </w:tc>
        <w:tc>
          <w:tcPr>
            <w:tcW w:w="50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≤6</w:t>
            </w:r>
            <w:r>
              <w:rPr>
                <w:rFonts w:hint="eastAsia" w:ascii="宋体" w:hAnsi="宋体" w:eastAsia="宋体" w:cs="宋体"/>
                <w:color w:val="auto"/>
                <w:sz w:val="18"/>
                <w:szCs w:val="18"/>
                <w:lang w:val="en-US" w:eastAsia="zh-CN"/>
              </w:rPr>
              <w:t>7</w:t>
            </w:r>
          </w:p>
        </w:tc>
        <w:tc>
          <w:tcPr>
            <w:tcW w:w="42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8"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6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2.2</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3.0</w:t>
            </w:r>
          </w:p>
        </w:tc>
        <w:tc>
          <w:tcPr>
            <w:tcW w:w="592"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≤66</w:t>
            </w:r>
          </w:p>
        </w:tc>
        <w:tc>
          <w:tcPr>
            <w:tcW w:w="67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≤68</w:t>
            </w:r>
          </w:p>
        </w:tc>
        <w:tc>
          <w:tcPr>
            <w:tcW w:w="54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2.2</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3.0</w:t>
            </w:r>
          </w:p>
        </w:tc>
        <w:tc>
          <w:tcPr>
            <w:tcW w:w="71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≤6</w:t>
            </w:r>
            <w:r>
              <w:rPr>
                <w:rFonts w:hint="eastAsia" w:ascii="宋体" w:hAnsi="宋体" w:eastAsia="宋体" w:cs="宋体"/>
                <w:color w:val="auto"/>
                <w:sz w:val="18"/>
                <w:szCs w:val="18"/>
                <w:lang w:val="en-US" w:eastAsia="zh-CN"/>
              </w:rPr>
              <w:t>8</w:t>
            </w:r>
          </w:p>
        </w:tc>
        <w:tc>
          <w:tcPr>
            <w:tcW w:w="50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70</w:t>
            </w:r>
          </w:p>
        </w:tc>
        <w:tc>
          <w:tcPr>
            <w:tcW w:w="42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8"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6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3.0</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4.0</w:t>
            </w:r>
          </w:p>
        </w:tc>
        <w:tc>
          <w:tcPr>
            <w:tcW w:w="592"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≤68</w:t>
            </w:r>
          </w:p>
        </w:tc>
        <w:tc>
          <w:tcPr>
            <w:tcW w:w="67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≤70</w:t>
            </w:r>
          </w:p>
        </w:tc>
        <w:tc>
          <w:tcPr>
            <w:tcW w:w="54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3.0</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4.0</w:t>
            </w:r>
          </w:p>
        </w:tc>
        <w:tc>
          <w:tcPr>
            <w:tcW w:w="71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70</w:t>
            </w:r>
          </w:p>
        </w:tc>
        <w:tc>
          <w:tcPr>
            <w:tcW w:w="50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≤7</w:t>
            </w:r>
            <w:r>
              <w:rPr>
                <w:rFonts w:hint="eastAsia" w:ascii="宋体" w:hAnsi="宋体" w:eastAsia="宋体" w:cs="宋体"/>
                <w:color w:val="auto"/>
                <w:sz w:val="18"/>
                <w:szCs w:val="18"/>
                <w:lang w:val="en-US" w:eastAsia="zh-CN"/>
              </w:rPr>
              <w:t>2</w:t>
            </w:r>
          </w:p>
        </w:tc>
        <w:tc>
          <w:tcPr>
            <w:tcW w:w="42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8"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6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4.0</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5</w:t>
            </w:r>
            <w:r>
              <w:rPr>
                <w:rFonts w:hint="eastAsia" w:ascii="宋体" w:hAnsi="宋体" w:eastAsia="宋体" w:cs="宋体"/>
                <w:color w:val="auto"/>
                <w:sz w:val="18"/>
                <w:szCs w:val="18"/>
                <w:lang w:val="zh-CN" w:eastAsia="zh-CN"/>
              </w:rPr>
              <w:t>.5</w:t>
            </w:r>
          </w:p>
        </w:tc>
        <w:tc>
          <w:tcPr>
            <w:tcW w:w="592"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≤70</w:t>
            </w:r>
          </w:p>
        </w:tc>
        <w:tc>
          <w:tcPr>
            <w:tcW w:w="67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≤72</w:t>
            </w:r>
          </w:p>
        </w:tc>
        <w:tc>
          <w:tcPr>
            <w:tcW w:w="54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4.0</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5</w:t>
            </w:r>
            <w:r>
              <w:rPr>
                <w:rFonts w:hint="eastAsia" w:ascii="宋体" w:hAnsi="宋体" w:eastAsia="宋体" w:cs="宋体"/>
                <w:color w:val="auto"/>
                <w:sz w:val="18"/>
                <w:szCs w:val="18"/>
                <w:lang w:val="zh-CN" w:eastAsia="zh-CN"/>
              </w:rPr>
              <w:t>.5</w:t>
            </w:r>
          </w:p>
        </w:tc>
        <w:tc>
          <w:tcPr>
            <w:tcW w:w="71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≤7</w:t>
            </w:r>
            <w:r>
              <w:rPr>
                <w:rFonts w:hint="eastAsia" w:ascii="宋体" w:hAnsi="宋体" w:eastAsia="宋体" w:cs="宋体"/>
                <w:color w:val="auto"/>
                <w:sz w:val="18"/>
                <w:szCs w:val="18"/>
                <w:lang w:val="en-US" w:eastAsia="zh-CN"/>
              </w:rPr>
              <w:t>2</w:t>
            </w:r>
          </w:p>
        </w:tc>
        <w:tc>
          <w:tcPr>
            <w:tcW w:w="50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≤7</w:t>
            </w:r>
            <w:r>
              <w:rPr>
                <w:rFonts w:hint="eastAsia" w:ascii="宋体" w:hAnsi="宋体" w:eastAsia="宋体" w:cs="宋体"/>
                <w:color w:val="auto"/>
                <w:sz w:val="18"/>
                <w:szCs w:val="18"/>
                <w:lang w:val="en-US" w:eastAsia="zh-CN"/>
              </w:rPr>
              <w:t>4</w:t>
            </w:r>
          </w:p>
        </w:tc>
        <w:tc>
          <w:tcPr>
            <w:tcW w:w="42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8"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69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5.5</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7</w:t>
            </w:r>
            <w:r>
              <w:rPr>
                <w:rFonts w:hint="eastAsia" w:ascii="宋体" w:hAnsi="宋体" w:eastAsia="宋体" w:cs="宋体"/>
                <w:color w:val="auto"/>
                <w:sz w:val="18"/>
                <w:szCs w:val="18"/>
                <w:lang w:val="zh-CN" w:eastAsia="zh-CN"/>
              </w:rPr>
              <w:t>.5</w:t>
            </w:r>
          </w:p>
        </w:tc>
        <w:tc>
          <w:tcPr>
            <w:tcW w:w="592"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≤73</w:t>
            </w:r>
          </w:p>
        </w:tc>
        <w:tc>
          <w:tcPr>
            <w:tcW w:w="67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≤76</w:t>
            </w:r>
          </w:p>
        </w:tc>
        <w:tc>
          <w:tcPr>
            <w:tcW w:w="54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5.5</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7</w:t>
            </w:r>
            <w:r>
              <w:rPr>
                <w:rFonts w:hint="eastAsia" w:ascii="宋体" w:hAnsi="宋体" w:eastAsia="宋体" w:cs="宋体"/>
                <w:color w:val="auto"/>
                <w:sz w:val="18"/>
                <w:szCs w:val="18"/>
                <w:lang w:val="zh-CN" w:eastAsia="zh-CN"/>
              </w:rPr>
              <w:t>.5</w:t>
            </w:r>
          </w:p>
        </w:tc>
        <w:tc>
          <w:tcPr>
            <w:tcW w:w="71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≤7</w:t>
            </w:r>
            <w:r>
              <w:rPr>
                <w:rFonts w:hint="eastAsia" w:ascii="宋体" w:hAnsi="宋体" w:eastAsia="宋体" w:cs="宋体"/>
                <w:color w:val="auto"/>
                <w:sz w:val="18"/>
                <w:szCs w:val="18"/>
                <w:lang w:val="en-US" w:eastAsia="zh-CN"/>
              </w:rPr>
              <w:t>5</w:t>
            </w:r>
          </w:p>
        </w:tc>
        <w:tc>
          <w:tcPr>
            <w:tcW w:w="50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≤76</w:t>
            </w:r>
          </w:p>
        </w:tc>
        <w:tc>
          <w:tcPr>
            <w:tcW w:w="42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8"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spacing w:val="0"/>
                <w:sz w:val="18"/>
                <w:szCs w:val="18"/>
                <w:shd w:val="clear" w:color="auto" w:fill="auto"/>
                <w:lang w:val="zh-CN" w:eastAsia="en-US" w:bidi="ar-SA"/>
              </w:rPr>
            </w:pPr>
            <w:r>
              <w:rPr>
                <w:rFonts w:hint="eastAsia" w:ascii="宋体" w:hAnsi="宋体" w:cs="宋体"/>
                <w:spacing w:val="0"/>
                <w:sz w:val="18"/>
                <w:szCs w:val="18"/>
                <w:shd w:val="clear" w:color="auto" w:fill="auto"/>
                <w:lang w:val="zh-CN"/>
              </w:rPr>
              <w:t>耐电压波动性能</w:t>
            </w:r>
          </w:p>
        </w:tc>
        <w:tc>
          <w:tcPr>
            <w:tcW w:w="1955"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cs="宋体"/>
                <w:color w:val="auto"/>
                <w:sz w:val="18"/>
                <w:szCs w:val="18"/>
                <w:lang w:eastAsia="zh-CN"/>
              </w:rPr>
            </w:pPr>
            <w:r>
              <w:rPr>
                <w:rFonts w:hint="eastAsia" w:ascii="宋体" w:hAnsi="宋体" w:eastAsia="宋体" w:cs="宋体"/>
                <w:color w:val="auto"/>
                <w:sz w:val="18"/>
                <w:szCs w:val="18"/>
                <w:lang w:val="en-US" w:eastAsia="zh-CN"/>
              </w:rPr>
              <w:t>5.7</w:t>
            </w:r>
            <w:r>
              <w:rPr>
                <w:rFonts w:hint="eastAsia" w:ascii="宋体" w:hAnsi="宋体" w:eastAsia="宋体" w:cs="宋体"/>
                <w:color w:val="auto"/>
                <w:sz w:val="18"/>
                <w:szCs w:val="18"/>
              </w:rPr>
              <w:t>应能适应电网电压的波动，快速冷却柜和快速冻结柜应运行正常，机组各部件不能出现故障，不应出现热过载保护，柜内温度应能保持正常</w:t>
            </w:r>
            <w:r>
              <w:rPr>
                <w:rFonts w:hint="eastAsia" w:ascii="宋体" w:hAnsi="宋体" w:cs="宋体"/>
                <w:color w:val="auto"/>
                <w:sz w:val="18"/>
                <w:szCs w:val="18"/>
                <w:lang w:eastAsia="zh-CN"/>
              </w:rPr>
              <w:t>。</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bidi="ar-SA"/>
              </w:rPr>
            </w:pPr>
            <w:r>
              <w:rPr>
                <w:rFonts w:hint="eastAsia" w:ascii="宋体" w:hAnsi="宋体" w:eastAsia="宋体" w:cs="宋体"/>
                <w:color w:val="auto"/>
                <w:sz w:val="18"/>
                <w:szCs w:val="18"/>
                <w:lang w:eastAsia="zh-CN"/>
              </w:rPr>
              <w:t>（试验时</w:t>
            </w:r>
            <w:r>
              <w:rPr>
                <w:rFonts w:hint="eastAsia" w:ascii="宋体" w:hAnsi="宋体" w:eastAsia="宋体" w:cs="宋体"/>
                <w:color w:val="auto"/>
                <w:sz w:val="18"/>
                <w:szCs w:val="18"/>
              </w:rPr>
              <w:t>使电压为额定电压的85%及115%条件下各运行1</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h</w:t>
            </w:r>
            <w:r>
              <w:rPr>
                <w:rFonts w:hint="eastAsia" w:ascii="宋体" w:hAnsi="宋体" w:eastAsia="宋体" w:cs="宋体"/>
                <w:color w:val="auto"/>
                <w:sz w:val="18"/>
                <w:szCs w:val="18"/>
                <w:lang w:eastAsia="zh-CN"/>
              </w:rPr>
              <w:t>）</w:t>
            </w:r>
          </w:p>
        </w:tc>
        <w:tc>
          <w:tcPr>
            <w:tcW w:w="1769"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5.2.5</w:t>
            </w:r>
            <w:r>
              <w:rPr>
                <w:rFonts w:hint="eastAsia" w:ascii="宋体" w:hAnsi="宋体" w:eastAsia="宋体" w:cs="宋体"/>
                <w:color w:val="auto"/>
                <w:sz w:val="18"/>
                <w:szCs w:val="18"/>
              </w:rPr>
              <w:t>应能适应电网电压的波动，快速冷却柜和快速冻结柜应运行正常，机组各部件不能出现故障，不应出现热过载保护，柜内温度应能保持正常</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bidi="ar-SA"/>
              </w:rPr>
            </w:pPr>
            <w:r>
              <w:rPr>
                <w:rFonts w:hint="eastAsia" w:ascii="宋体" w:hAnsi="宋体" w:eastAsia="宋体" w:cs="宋体"/>
                <w:color w:val="auto"/>
                <w:sz w:val="18"/>
                <w:szCs w:val="18"/>
                <w:lang w:eastAsia="zh-CN"/>
              </w:rPr>
              <w:t>（试验时</w:t>
            </w:r>
            <w:r>
              <w:rPr>
                <w:rFonts w:hint="eastAsia" w:ascii="宋体" w:hAnsi="宋体" w:eastAsia="宋体" w:cs="宋体"/>
                <w:color w:val="auto"/>
                <w:sz w:val="18"/>
                <w:szCs w:val="18"/>
              </w:rPr>
              <w:t>使电压为额定电压的</w:t>
            </w:r>
            <w:r>
              <w:rPr>
                <w:rFonts w:hint="eastAsia" w:ascii="宋体" w:hAnsi="宋体" w:cs="宋体"/>
                <w:color w:val="auto"/>
                <w:sz w:val="18"/>
                <w:szCs w:val="18"/>
                <w:lang w:val="en-US" w:eastAsia="zh-CN"/>
              </w:rPr>
              <w:t>90</w:t>
            </w:r>
            <w:r>
              <w:rPr>
                <w:rFonts w:hint="eastAsia" w:ascii="宋体" w:hAnsi="宋体" w:eastAsia="宋体" w:cs="宋体"/>
                <w:color w:val="auto"/>
                <w:sz w:val="18"/>
                <w:szCs w:val="18"/>
              </w:rPr>
              <w:t>%及11</w:t>
            </w:r>
            <w:r>
              <w:rPr>
                <w:rFonts w:hint="eastAsia" w:ascii="宋体" w:hAnsi="宋体" w:cs="宋体"/>
                <w:color w:val="auto"/>
                <w:sz w:val="18"/>
                <w:szCs w:val="18"/>
                <w:lang w:val="en-US" w:eastAsia="zh-CN"/>
              </w:rPr>
              <w:t>0</w:t>
            </w:r>
            <w:r>
              <w:rPr>
                <w:rFonts w:hint="eastAsia" w:ascii="宋体" w:hAnsi="宋体" w:eastAsia="宋体" w:cs="宋体"/>
                <w:color w:val="auto"/>
                <w:sz w:val="18"/>
                <w:szCs w:val="18"/>
              </w:rPr>
              <w:t>%条件下各运行1</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h</w:t>
            </w:r>
            <w:r>
              <w:rPr>
                <w:rFonts w:hint="eastAsia" w:ascii="宋体" w:hAnsi="宋体" w:eastAsia="宋体" w:cs="宋体"/>
                <w:color w:val="auto"/>
                <w:sz w:val="18"/>
                <w:szCs w:val="18"/>
                <w:lang w:eastAsia="zh-CN"/>
              </w:rPr>
              <w:t>）</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Times New Roman"/>
                <w:spacing w:val="0"/>
                <w:sz w:val="18"/>
                <w:szCs w:val="18"/>
                <w:shd w:val="clear" w:color="auto" w:fill="auto"/>
                <w:lang w:val="zh-CN" w:eastAsia="zh-CN" w:bidi="ar-SA"/>
              </w:rPr>
            </w:pPr>
            <w:r>
              <w:rPr>
                <w:rFonts w:hint="eastAsia" w:ascii="宋体" w:hAnsi="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8"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rPr>
              <w:t>启动性能</w:t>
            </w:r>
          </w:p>
        </w:tc>
        <w:tc>
          <w:tcPr>
            <w:tcW w:w="1955"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en-US" w:eastAsia="zh-CN"/>
              </w:rPr>
              <w:t>5.8</w:t>
            </w:r>
            <w:r>
              <w:rPr>
                <w:rFonts w:hint="eastAsia" w:ascii="宋体" w:hAnsi="宋体" w:eastAsia="宋体" w:cs="宋体"/>
                <w:color w:val="auto"/>
                <w:sz w:val="18"/>
                <w:szCs w:val="18"/>
              </w:rPr>
              <w:t>应具有良好的启动性能，</w:t>
            </w:r>
            <w:r>
              <w:rPr>
                <w:rFonts w:hint="eastAsia" w:ascii="宋体" w:hAnsi="宋体" w:eastAsia="宋体" w:cs="宋体"/>
                <w:color w:val="auto"/>
                <w:sz w:val="18"/>
                <w:szCs w:val="18"/>
                <w:lang w:eastAsia="zh-CN"/>
              </w:rPr>
              <w:t>进行</w:t>
            </w:r>
            <w:r>
              <w:rPr>
                <w:rFonts w:hint="eastAsia" w:ascii="宋体" w:hAnsi="宋体" w:eastAsia="宋体" w:cs="宋体"/>
                <w:color w:val="auto"/>
                <w:sz w:val="18"/>
                <w:szCs w:val="18"/>
              </w:rPr>
              <w:t>降电压15%启动试验时，快速冷却柜和快速冻结柜应能正常起动降温，装在快速冷却柜和快速冻结柜上的任何保护装置不应动作</w:t>
            </w:r>
          </w:p>
        </w:tc>
        <w:tc>
          <w:tcPr>
            <w:tcW w:w="1769"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5.2.6</w:t>
            </w:r>
            <w:r>
              <w:rPr>
                <w:rFonts w:hint="eastAsia" w:ascii="宋体" w:hAnsi="宋体" w:eastAsia="宋体" w:cs="宋体"/>
                <w:color w:val="auto"/>
                <w:sz w:val="18"/>
                <w:szCs w:val="18"/>
              </w:rPr>
              <w:t>冷柜在工作温度范围的上限温度下应能运行并制冷。按6.2.6进行试验时,冷柜应能正常启动,装在冷柜上的任何保护装置不应动作。</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cs="宋体"/>
                <w:color w:val="auto"/>
                <w:sz w:val="18"/>
                <w:szCs w:val="18"/>
                <w:lang w:eastAsia="zh-CN"/>
              </w:rPr>
              <w:t>（试验时的启动试验电压为</w:t>
            </w:r>
            <w:r>
              <w:rPr>
                <w:rFonts w:hint="eastAsia" w:ascii="宋体" w:hAnsi="宋体" w:eastAsia="宋体" w:cs="宋体"/>
                <w:color w:val="auto"/>
                <w:sz w:val="18"/>
                <w:szCs w:val="18"/>
              </w:rPr>
              <w:t>降电压1</w:t>
            </w:r>
            <w:r>
              <w:rPr>
                <w:rFonts w:hint="eastAsia" w:ascii="宋体" w:hAnsi="宋体" w:cs="宋体"/>
                <w:color w:val="auto"/>
                <w:sz w:val="18"/>
                <w:szCs w:val="18"/>
                <w:lang w:val="en-US" w:eastAsia="zh-CN"/>
              </w:rPr>
              <w:t>0</w:t>
            </w:r>
            <w:r>
              <w:rPr>
                <w:rFonts w:hint="eastAsia" w:ascii="宋体" w:hAnsi="宋体" w:eastAsia="宋体" w:cs="宋体"/>
                <w:color w:val="auto"/>
                <w:sz w:val="18"/>
                <w:szCs w:val="18"/>
              </w:rPr>
              <w:t>%</w:t>
            </w:r>
            <w:r>
              <w:rPr>
                <w:rFonts w:hint="eastAsia" w:ascii="宋体" w:hAnsi="宋体" w:cs="宋体"/>
                <w:color w:val="auto"/>
                <w:sz w:val="18"/>
                <w:szCs w:val="18"/>
                <w:lang w:eastAsia="zh-CN"/>
              </w:rPr>
              <w:t>）</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zh-CN"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8"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r>
              <w:rPr>
                <w:rFonts w:hint="eastAsia" w:ascii="宋体" w:hAnsi="宋体" w:cs="宋体"/>
                <w:spacing w:val="0"/>
                <w:sz w:val="18"/>
                <w:szCs w:val="18"/>
                <w:shd w:val="clear" w:color="auto" w:fill="auto"/>
                <w:lang w:val="zh-CN"/>
              </w:rPr>
              <w:t>速冻性能降温</w:t>
            </w:r>
          </w:p>
        </w:tc>
        <w:tc>
          <w:tcPr>
            <w:tcW w:w="1955"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5.9.1.1</w:t>
            </w:r>
            <w:r>
              <w:rPr>
                <w:rFonts w:hint="eastAsia" w:ascii="宋体" w:hAnsi="宋体" w:eastAsia="宋体" w:cs="宋体"/>
                <w:color w:val="auto"/>
                <w:sz w:val="18"/>
                <w:szCs w:val="18"/>
              </w:rPr>
              <w:t>快速冷却柜将一定量的70℃高温食品在90</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min规定的时间内冷却食品时，食品物料的中心温度应≤3 ℃；用户有特殊要求除外。</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5.9.1.2</w:t>
            </w:r>
            <w:r>
              <w:rPr>
                <w:rFonts w:hint="eastAsia" w:ascii="宋体" w:hAnsi="宋体" w:eastAsia="宋体" w:cs="宋体"/>
                <w:color w:val="auto"/>
                <w:sz w:val="18"/>
                <w:szCs w:val="18"/>
              </w:rPr>
              <w:t>快速冻结柜将一定量的70</w:t>
            </w: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℃高温食品在240 min规定的时间内速冻食品时，食品物料的中心温度应≤-18 ℃；用户有特殊要求除外。</w:t>
            </w:r>
          </w:p>
        </w:tc>
        <w:tc>
          <w:tcPr>
            <w:tcW w:w="1769"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5.2.7快速冷却柜能够在 90min内,快速冻结柜能够在240min内,或在制造商指定的时间内(以时间较短者为准),快速冷却柜能将食品中心温度从70℃降低至3℃,且为非冻结状态:快速冻结柜能将食品内部温度从 70 ℃降低至一18 ℃或以下,按照6.2.7进行试验,降温时间不高于规定值,且食品内部温度符合要求。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default" w:ascii="宋体" w:hAnsi="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8" w:hRule="atLeast"/>
          <w:jc w:val="center"/>
        </w:trPr>
        <w:tc>
          <w:tcPr>
            <w:tcW w:w="30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r>
              <w:rPr>
                <w:rFonts w:hint="eastAsia" w:ascii="宋体" w:hAnsi="宋体" w:cs="宋体"/>
                <w:spacing w:val="0"/>
                <w:sz w:val="18"/>
                <w:szCs w:val="18"/>
                <w:shd w:val="clear" w:color="auto" w:fill="auto"/>
                <w:lang w:val="zh-CN"/>
              </w:rPr>
              <w:t>空载降温</w:t>
            </w:r>
          </w:p>
        </w:tc>
        <w:tc>
          <w:tcPr>
            <w:tcW w:w="1955"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5.9.2</w:t>
            </w:r>
            <w:r>
              <w:rPr>
                <w:rFonts w:hint="eastAsia" w:ascii="宋体" w:hAnsi="宋体" w:eastAsia="宋体" w:cs="宋体"/>
                <w:color w:val="auto"/>
                <w:sz w:val="18"/>
                <w:szCs w:val="18"/>
              </w:rPr>
              <w:t>进行空载降温试验时，快速冷却柜和快速冻结柜产品内循环气流温度从环境温度降至-30 ℃ 所需的时间≤50 min。</w:t>
            </w:r>
          </w:p>
        </w:tc>
        <w:tc>
          <w:tcPr>
            <w:tcW w:w="1769"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创新性</w:t>
            </w:r>
          </w:p>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指标</w:t>
            </w:r>
          </w:p>
        </w:tc>
        <w:tc>
          <w:tcPr>
            <w:tcW w:w="54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rPr>
              <w:t>电磁兼容</w:t>
            </w:r>
          </w:p>
        </w:tc>
        <w:tc>
          <w:tcPr>
            <w:tcW w:w="1955"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rPr>
              <w:t>应符合GB 17625.1和GB 4343.1、GB</w:t>
            </w:r>
            <w:r>
              <w:rPr>
                <w:rFonts w:hint="eastAsia" w:ascii="宋体" w:hAnsi="宋体" w:eastAsia="宋体" w:cs="宋体"/>
                <w:color w:val="auto"/>
                <w:sz w:val="18"/>
                <w:szCs w:val="18"/>
                <w:lang w:val="en-US"/>
              </w:rPr>
              <w:t>/T</w:t>
            </w:r>
            <w:r>
              <w:rPr>
                <w:rFonts w:hint="eastAsia" w:ascii="宋体" w:hAnsi="宋体" w:eastAsia="宋体" w:cs="宋体"/>
                <w:color w:val="auto"/>
                <w:sz w:val="18"/>
                <w:szCs w:val="18"/>
              </w:rPr>
              <w:t xml:space="preserve"> 4343.2的要求</w:t>
            </w:r>
          </w:p>
        </w:tc>
        <w:tc>
          <w:tcPr>
            <w:tcW w:w="1769"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spacing w:val="0"/>
                <w:sz w:val="18"/>
                <w:szCs w:val="18"/>
                <w:shd w:val="clear" w:color="auto" w:fill="auto"/>
                <w:lang w:val="en-US" w:eastAsia="zh-CN"/>
              </w:rPr>
            </w:pPr>
            <w:r>
              <w:rPr>
                <w:rFonts w:hint="eastAsia" w:ascii="宋体" w:hAnsi="宋体"/>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3"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544" w:type="pct"/>
            <w:vMerge w:val="restart"/>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rPr>
              <w:t>与食品接触材料安全</w:t>
            </w:r>
          </w:p>
        </w:tc>
        <w:tc>
          <w:tcPr>
            <w:tcW w:w="1955"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rPr>
              <w:t>应符合GB 4806.1和表3的要求</w:t>
            </w:r>
          </w:p>
        </w:tc>
        <w:tc>
          <w:tcPr>
            <w:tcW w:w="1769" w:type="pct"/>
            <w:gridSpan w:val="3"/>
            <w:vMerge w:val="restart"/>
            <w:vAlign w:val="center"/>
          </w:tcPr>
          <w:p>
            <w:pPr>
              <w:keepNext w:val="0"/>
              <w:keepLines w:val="0"/>
              <w:pageBreakBefore w:val="0"/>
              <w:kinsoku/>
              <w:wordWrap/>
              <w:overflowPunct/>
              <w:topLinePunct w:val="0"/>
              <w:bidi w:val="0"/>
              <w:adjustRightInd w:val="0"/>
              <w:snapToGrid w:val="0"/>
              <w:jc w:val="center"/>
              <w:textAlignment w:val="auto"/>
              <w:rPr>
                <w:rFonts w:ascii="宋体" w:hAnsi="宋体"/>
                <w:spacing w:val="0"/>
                <w:sz w:val="18"/>
                <w:szCs w:val="18"/>
                <w:shd w:val="clear" w:color="auto" w:fill="auto"/>
                <w:lang w:eastAsia="zh-CN"/>
              </w:rPr>
            </w:pPr>
            <w:r>
              <w:rPr>
                <w:rFonts w:hint="eastAsia" w:ascii="宋体" w:hAnsi="宋体"/>
                <w:spacing w:val="0"/>
                <w:sz w:val="18"/>
                <w:szCs w:val="18"/>
                <w:shd w:val="clear" w:color="auto" w:fill="auto"/>
                <w:lang w:val="en-US" w:eastAsia="zh-CN"/>
              </w:rPr>
              <w:t>——</w:t>
            </w:r>
          </w:p>
        </w:tc>
        <w:tc>
          <w:tcPr>
            <w:tcW w:w="424"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940"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en-US"/>
              </w:rPr>
            </w:pPr>
            <w:r>
              <w:rPr>
                <w:rFonts w:hint="eastAsia" w:ascii="宋体" w:hAnsi="宋体" w:eastAsia="宋体" w:cs="宋体"/>
                <w:color w:val="auto"/>
                <w:sz w:val="18"/>
                <w:szCs w:val="18"/>
              </w:rPr>
              <w:t>部件/部位</w:t>
            </w:r>
          </w:p>
        </w:tc>
        <w:tc>
          <w:tcPr>
            <w:tcW w:w="1015"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en-US"/>
              </w:rPr>
            </w:pPr>
            <w:r>
              <w:rPr>
                <w:rFonts w:hint="eastAsia" w:ascii="宋体" w:hAnsi="宋体" w:eastAsia="宋体" w:cs="宋体"/>
                <w:color w:val="auto"/>
                <w:sz w:val="18"/>
                <w:szCs w:val="18"/>
              </w:rPr>
              <w:t>要求及其试验方法</w:t>
            </w:r>
          </w:p>
        </w:tc>
        <w:tc>
          <w:tcPr>
            <w:tcW w:w="1769" w:type="pct"/>
            <w:gridSpan w:val="3"/>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pPr>
          </w:p>
        </w:tc>
        <w:tc>
          <w:tcPr>
            <w:tcW w:w="42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940"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en-US"/>
              </w:rPr>
            </w:pPr>
            <w:r>
              <w:rPr>
                <w:rFonts w:hint="eastAsia" w:ascii="宋体" w:hAnsi="宋体" w:eastAsia="宋体" w:cs="宋体"/>
                <w:color w:val="auto"/>
                <w:sz w:val="18"/>
                <w:szCs w:val="18"/>
              </w:rPr>
              <w:t>塑料材料及制品</w:t>
            </w:r>
          </w:p>
        </w:tc>
        <w:tc>
          <w:tcPr>
            <w:tcW w:w="1015"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en-US"/>
              </w:rPr>
            </w:pPr>
            <w:r>
              <w:rPr>
                <w:rFonts w:hint="eastAsia" w:ascii="宋体" w:hAnsi="宋体" w:eastAsia="宋体" w:cs="宋体"/>
                <w:color w:val="auto"/>
                <w:sz w:val="18"/>
                <w:szCs w:val="18"/>
              </w:rPr>
              <w:t>GB 4806.7</w:t>
            </w:r>
          </w:p>
        </w:tc>
        <w:tc>
          <w:tcPr>
            <w:tcW w:w="1769" w:type="pct"/>
            <w:gridSpan w:val="3"/>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pPr>
          </w:p>
        </w:tc>
        <w:tc>
          <w:tcPr>
            <w:tcW w:w="42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940"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en-US"/>
              </w:rPr>
            </w:pPr>
            <w:r>
              <w:rPr>
                <w:rFonts w:hint="eastAsia" w:ascii="宋体" w:hAnsi="宋体" w:eastAsia="宋体" w:cs="宋体"/>
                <w:color w:val="auto"/>
                <w:sz w:val="18"/>
                <w:szCs w:val="18"/>
              </w:rPr>
              <w:t>玻璃制品</w:t>
            </w:r>
          </w:p>
        </w:tc>
        <w:tc>
          <w:tcPr>
            <w:tcW w:w="1015"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en-US"/>
              </w:rPr>
            </w:pPr>
            <w:r>
              <w:rPr>
                <w:rFonts w:hint="eastAsia" w:ascii="宋体" w:hAnsi="宋体" w:eastAsia="宋体" w:cs="宋体"/>
                <w:color w:val="auto"/>
                <w:sz w:val="18"/>
                <w:szCs w:val="18"/>
              </w:rPr>
              <w:t>GB 4806.5</w:t>
            </w:r>
          </w:p>
        </w:tc>
        <w:tc>
          <w:tcPr>
            <w:tcW w:w="1769" w:type="pct"/>
            <w:gridSpan w:val="3"/>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pPr>
          </w:p>
        </w:tc>
        <w:tc>
          <w:tcPr>
            <w:tcW w:w="42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940"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en-US"/>
              </w:rPr>
            </w:pPr>
            <w:r>
              <w:rPr>
                <w:rFonts w:hint="eastAsia" w:ascii="宋体" w:hAnsi="宋体" w:eastAsia="宋体" w:cs="宋体"/>
                <w:color w:val="auto"/>
                <w:sz w:val="18"/>
                <w:szCs w:val="18"/>
              </w:rPr>
              <w:t>金属材料及制品</w:t>
            </w:r>
          </w:p>
        </w:tc>
        <w:tc>
          <w:tcPr>
            <w:tcW w:w="1015"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en-US"/>
              </w:rPr>
            </w:pPr>
            <w:r>
              <w:rPr>
                <w:rFonts w:hint="eastAsia" w:ascii="宋体" w:hAnsi="宋体" w:eastAsia="宋体" w:cs="宋体"/>
                <w:color w:val="auto"/>
                <w:sz w:val="18"/>
                <w:szCs w:val="18"/>
              </w:rPr>
              <w:t>GB 4806.9</w:t>
            </w:r>
          </w:p>
        </w:tc>
        <w:tc>
          <w:tcPr>
            <w:tcW w:w="1769" w:type="pct"/>
            <w:gridSpan w:val="3"/>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pPr>
          </w:p>
        </w:tc>
        <w:tc>
          <w:tcPr>
            <w:tcW w:w="42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54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p>
        </w:tc>
        <w:tc>
          <w:tcPr>
            <w:tcW w:w="940"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en-US"/>
              </w:rPr>
            </w:pPr>
            <w:r>
              <w:rPr>
                <w:rFonts w:hint="eastAsia" w:ascii="宋体" w:hAnsi="宋体" w:eastAsia="宋体" w:cs="宋体"/>
                <w:color w:val="auto"/>
                <w:sz w:val="18"/>
                <w:szCs w:val="18"/>
              </w:rPr>
              <w:t>涂料及涂层</w:t>
            </w:r>
          </w:p>
        </w:tc>
        <w:tc>
          <w:tcPr>
            <w:tcW w:w="1015"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en-US"/>
              </w:rPr>
            </w:pPr>
            <w:r>
              <w:rPr>
                <w:rFonts w:hint="eastAsia" w:ascii="宋体" w:hAnsi="宋体" w:eastAsia="宋体" w:cs="宋体"/>
                <w:color w:val="auto"/>
                <w:sz w:val="18"/>
                <w:szCs w:val="18"/>
              </w:rPr>
              <w:t>GB 4806.10</w:t>
            </w:r>
          </w:p>
        </w:tc>
        <w:tc>
          <w:tcPr>
            <w:tcW w:w="1769" w:type="pct"/>
            <w:gridSpan w:val="3"/>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pPr>
          </w:p>
        </w:tc>
        <w:tc>
          <w:tcPr>
            <w:tcW w:w="42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54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r>
              <w:rPr>
                <w:rFonts w:hint="eastAsia" w:ascii="宋体" w:hAnsi="宋体" w:cs="宋体"/>
                <w:spacing w:val="0"/>
                <w:sz w:val="18"/>
                <w:szCs w:val="18"/>
                <w:shd w:val="clear" w:color="auto" w:fill="auto"/>
                <w:lang w:val="zh-CN"/>
              </w:rPr>
              <w:t>抗菌</w:t>
            </w:r>
          </w:p>
        </w:tc>
        <w:tc>
          <w:tcPr>
            <w:tcW w:w="1955"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具有抗菌功能的商用冷柜或其应用抗菌材料生产的主要部件，对金黄色葡萄球菌、大肠杆菌的抗菌率不应小于97%</w:t>
            </w:r>
          </w:p>
        </w:tc>
        <w:tc>
          <w:tcPr>
            <w:tcW w:w="1769"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spacing w:val="0"/>
                <w:sz w:val="18"/>
                <w:szCs w:val="18"/>
                <w:shd w:val="clear" w:color="auto" w:fill="auto"/>
                <w:lang w:val="en-US" w:eastAsia="zh-CN"/>
              </w:rPr>
            </w:pPr>
            <w:r>
              <w:rPr>
                <w:rFonts w:hint="eastAsia" w:ascii="宋体" w:hAnsi="宋体"/>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54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rPr>
              <w:t>限用物质</w:t>
            </w:r>
          </w:p>
        </w:tc>
        <w:tc>
          <w:tcPr>
            <w:tcW w:w="1955"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color w:val="auto"/>
                <w:sz w:val="18"/>
                <w:szCs w:val="18"/>
              </w:rPr>
              <w:t>应符合GB/T 26572的要求</w:t>
            </w:r>
          </w:p>
        </w:tc>
        <w:tc>
          <w:tcPr>
            <w:tcW w:w="1769"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Times New Roman"/>
                <w:spacing w:val="0"/>
                <w:sz w:val="18"/>
                <w:szCs w:val="18"/>
                <w:shd w:val="clear" w:color="auto" w:fill="auto"/>
                <w:lang w:val="en-US" w:eastAsia="zh-CN" w:bidi="ar-SA"/>
              </w:rPr>
            </w:pPr>
            <w:r>
              <w:rPr>
                <w:rFonts w:hint="eastAsia" w:ascii="宋体" w:hAnsi="宋体"/>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zh-CN"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6"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54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r>
              <w:rPr>
                <w:rFonts w:hint="eastAsia" w:ascii="宋体" w:hAnsi="宋体" w:cs="宋体"/>
                <w:spacing w:val="0"/>
                <w:sz w:val="18"/>
                <w:szCs w:val="18"/>
                <w:shd w:val="clear" w:color="auto" w:fill="auto"/>
                <w:lang w:val="zh-CN"/>
              </w:rPr>
              <w:t>制冷剂类型</w:t>
            </w:r>
          </w:p>
        </w:tc>
        <w:tc>
          <w:tcPr>
            <w:tcW w:w="1955"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应采用ODP值为0且GWP值不大于100的制冷剂，且充注量应符合GB 4706.102的相关要求</w:t>
            </w:r>
          </w:p>
        </w:tc>
        <w:tc>
          <w:tcPr>
            <w:tcW w:w="1769" w:type="pct"/>
            <w:gridSpan w:val="3"/>
            <w:vAlign w:val="center"/>
          </w:tcPr>
          <w:p>
            <w:pPr>
              <w:keepNext w:val="0"/>
              <w:keepLines w:val="0"/>
              <w:pageBreakBefore w:val="0"/>
              <w:kinsoku/>
              <w:wordWrap/>
              <w:overflowPunct/>
              <w:topLinePunct w:val="0"/>
              <w:bidi w:val="0"/>
              <w:adjustRightInd w:val="0"/>
              <w:snapToGrid w:val="0"/>
              <w:jc w:val="center"/>
              <w:textAlignment w:val="auto"/>
              <w:rPr>
                <w:rFonts w:ascii="宋体" w:hAnsi="宋体"/>
                <w:spacing w:val="0"/>
                <w:sz w:val="18"/>
                <w:szCs w:val="18"/>
                <w:shd w:val="clear" w:color="auto" w:fill="auto"/>
                <w:lang w:eastAsia="zh-CN"/>
              </w:rPr>
            </w:pPr>
            <w:r>
              <w:rPr>
                <w:rFonts w:hint="eastAsia" w:ascii="宋体" w:hAnsi="宋体"/>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54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rPr>
              <w:t>智能化功能</w:t>
            </w:r>
          </w:p>
        </w:tc>
        <w:tc>
          <w:tcPr>
            <w:tcW w:w="1955" w:type="pct"/>
            <w:gridSpan w:val="4"/>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带智能功能的陈列柜应包括且不限于以下智能化功能：</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360" w:firstLineChars="200"/>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rPr>
              <w:t>a)</w:t>
            </w:r>
            <w:r>
              <w:rPr>
                <w:rFonts w:hint="eastAsia" w:ascii="宋体" w:hAnsi="宋体" w:eastAsia="宋体" w:cs="宋体"/>
                <w:color w:val="auto"/>
                <w:sz w:val="18"/>
                <w:szCs w:val="18"/>
              </w:rPr>
              <w:t>远程定位功能：通过客户终端可查看到陈列柜位置；</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360" w:firstLineChars="200"/>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rPr>
              <w:t>b)</w:t>
            </w:r>
            <w:r>
              <w:rPr>
                <w:rFonts w:hint="eastAsia" w:ascii="宋体" w:hAnsi="宋体" w:eastAsia="宋体" w:cs="宋体"/>
                <w:color w:val="auto"/>
                <w:sz w:val="18"/>
                <w:szCs w:val="18"/>
              </w:rPr>
              <w:t>远程控制功能：通过客户终端实现温度、湿度控制功能；</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ind w:firstLine="360" w:firstLineChars="200"/>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rPr>
              <w:t>c)</w:t>
            </w:r>
            <w:r>
              <w:rPr>
                <w:rFonts w:hint="eastAsia" w:ascii="宋体" w:hAnsi="宋体" w:eastAsia="宋体" w:cs="宋体"/>
                <w:color w:val="auto"/>
                <w:sz w:val="18"/>
                <w:szCs w:val="18"/>
              </w:rPr>
              <w:t>远程巡检功能：通过客户终端查看陈列柜的运行状态、储物情况等。</w:t>
            </w:r>
          </w:p>
        </w:tc>
        <w:tc>
          <w:tcPr>
            <w:tcW w:w="1769" w:type="pct"/>
            <w:gridSpan w:val="3"/>
            <w:vAlign w:val="center"/>
          </w:tcPr>
          <w:p>
            <w:pPr>
              <w:keepNext w:val="0"/>
              <w:keepLines w:val="0"/>
              <w:pageBreakBefore w:val="0"/>
              <w:kinsoku/>
              <w:wordWrap/>
              <w:overflowPunct/>
              <w:topLinePunct w:val="0"/>
              <w:bidi w:val="0"/>
              <w:adjustRightInd w:val="0"/>
              <w:snapToGrid w:val="0"/>
              <w:jc w:val="center"/>
              <w:textAlignment w:val="auto"/>
              <w:rPr>
                <w:rFonts w:ascii="宋体" w:hAnsi="宋体"/>
                <w:spacing w:val="0"/>
                <w:sz w:val="18"/>
                <w:szCs w:val="18"/>
                <w:shd w:val="clear" w:color="auto" w:fill="auto"/>
                <w:lang w:eastAsia="zh-CN"/>
              </w:rPr>
            </w:pPr>
            <w:r>
              <w:rPr>
                <w:rFonts w:hint="eastAsia" w:ascii="宋体" w:hAnsi="宋体"/>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新增</w:t>
            </w:r>
          </w:p>
        </w:tc>
      </w:tr>
    </w:tbl>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标准先进性说明：</w:t>
      </w:r>
    </w:p>
    <w:p>
      <w:pPr>
        <w:ind w:firstLine="560" w:firstLineChars="200"/>
        <w:rPr>
          <w:rFonts w:hint="eastAsia" w:ascii="仿宋" w:hAnsi="仿宋" w:eastAsia="仿宋" w:cs="仿宋"/>
          <w:bCs/>
          <w:sz w:val="28"/>
          <w:szCs w:val="28"/>
          <w:lang w:val="zh-CN" w:eastAsia="zh-CN"/>
        </w:rPr>
      </w:pPr>
      <w:bookmarkStart w:id="7" w:name="_Hlk161677665"/>
      <w:r>
        <w:rPr>
          <w:rFonts w:hint="eastAsia" w:ascii="仿宋" w:hAnsi="仿宋" w:eastAsia="仿宋" w:cs="仿宋"/>
          <w:bCs/>
          <w:sz w:val="28"/>
          <w:szCs w:val="28"/>
          <w:lang w:eastAsia="zh-CN"/>
        </w:rPr>
        <w:t>1）</w:t>
      </w:r>
      <w:r>
        <w:rPr>
          <w:rFonts w:hint="eastAsia" w:ascii="仿宋" w:hAnsi="仿宋" w:eastAsia="仿宋" w:cs="仿宋"/>
          <w:bCs/>
          <w:sz w:val="28"/>
          <w:szCs w:val="28"/>
          <w:lang w:val="zh-CN" w:eastAsia="zh-CN"/>
        </w:rPr>
        <w:t>电磁兼容、食品接触材料安全：反映产品的安全卫生要求。</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理由说明：电磁兼容优良的商用冷柜能保证产品使用不会受到外界电磁的干扰，同时也能确保自身发出电磁不会对周围产品使用生产不利影响，是国内外对电气电器产品的要求。</w:t>
      </w:r>
      <w:r>
        <w:rPr>
          <w:rFonts w:hint="eastAsia" w:ascii="仿宋" w:hAnsi="仿宋" w:eastAsia="仿宋" w:cs="仿宋"/>
          <w:bCs/>
          <w:sz w:val="28"/>
          <w:szCs w:val="28"/>
          <w:lang w:val="zh-CN" w:eastAsia="zh-CN"/>
        </w:rPr>
        <w:t>食品接触材料安全是保障用户的食品安全。这两项技术指标即是基础性指标，其性能的稳定性也是产品先进性的体现，也是其它先进性指标具有可行性的前提</w:t>
      </w:r>
      <w:r>
        <w:rPr>
          <w:rFonts w:hint="eastAsia" w:ascii="仿宋" w:hAnsi="仿宋" w:eastAsia="仿宋" w:cs="仿宋"/>
          <w:bCs/>
          <w:sz w:val="28"/>
          <w:szCs w:val="28"/>
          <w:lang w:eastAsia="zh-CN"/>
        </w:rPr>
        <w:t>，以确保产品工作能力、质量</w:t>
      </w:r>
      <w:r>
        <w:rPr>
          <w:rFonts w:hint="eastAsia" w:ascii="仿宋" w:hAnsi="仿宋" w:eastAsia="仿宋" w:cs="仿宋"/>
          <w:bCs/>
          <w:sz w:val="28"/>
          <w:szCs w:val="28"/>
          <w:lang w:val="en-US" w:eastAsia="zh-CN"/>
        </w:rPr>
        <w:t>和可靠性的保障和提升。</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w:t>
      </w:r>
      <w:r>
        <w:rPr>
          <w:rFonts w:hint="eastAsia" w:ascii="仿宋" w:hAnsi="仿宋" w:eastAsia="仿宋" w:cs="仿宋"/>
          <w:bCs/>
          <w:sz w:val="28"/>
          <w:szCs w:val="28"/>
          <w:lang w:val="zh-CN" w:eastAsia="zh-CN"/>
        </w:rPr>
        <w:t>速冻性能降温、空载降温、耗电量、噪声、启动性能、抗菌</w:t>
      </w:r>
      <w:r>
        <w:rPr>
          <w:rFonts w:hint="eastAsia" w:ascii="仿宋" w:hAnsi="仿宋" w:eastAsia="仿宋" w:cs="仿宋"/>
          <w:bCs/>
          <w:sz w:val="28"/>
          <w:szCs w:val="28"/>
          <w:lang w:val="en-US" w:eastAsia="zh-CN"/>
        </w:rPr>
        <w:t>：</w:t>
      </w:r>
      <w:r>
        <w:rPr>
          <w:rFonts w:hint="eastAsia" w:ascii="仿宋" w:hAnsi="仿宋" w:eastAsia="仿宋" w:cs="仿宋"/>
          <w:bCs/>
          <w:sz w:val="28"/>
          <w:szCs w:val="28"/>
          <w:lang w:eastAsia="zh-CN"/>
        </w:rPr>
        <w:t>反映产品结构、材料和绝热及运行功能优良</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val="zh-CN" w:eastAsia="zh-CN"/>
        </w:rPr>
        <w:t>速冻性能降温、空载降温、耗电量、噪声</w:t>
      </w:r>
      <w:r>
        <w:rPr>
          <w:rFonts w:hint="eastAsia" w:ascii="仿宋" w:hAnsi="仿宋" w:eastAsia="仿宋" w:cs="仿宋"/>
          <w:sz w:val="28"/>
          <w:szCs w:val="28"/>
          <w:lang w:val="zh-CN" w:eastAsia="zh-CN"/>
        </w:rPr>
        <w:t>、耐电压波动性能</w:t>
      </w:r>
      <w:r>
        <w:rPr>
          <w:rFonts w:hint="eastAsia" w:ascii="仿宋" w:hAnsi="仿宋" w:eastAsia="仿宋" w:cs="仿宋"/>
          <w:bCs/>
          <w:sz w:val="28"/>
          <w:szCs w:val="28"/>
          <w:lang w:val="zh-CN" w:eastAsia="zh-CN"/>
        </w:rPr>
        <w:t>、启动性能、抗菌</w:t>
      </w:r>
      <w:r>
        <w:rPr>
          <w:rFonts w:hint="eastAsia" w:ascii="仿宋" w:hAnsi="仿宋" w:eastAsia="仿宋" w:cs="仿宋"/>
          <w:bCs/>
          <w:sz w:val="28"/>
          <w:szCs w:val="28"/>
          <w:lang w:val="en-US" w:eastAsia="zh-CN"/>
        </w:rPr>
        <w:t>，是用户最关心的关键指标，是企业提高市场竞争力的核心，是快速冷却柜和快速冻结柜产品技术提升的难点和痛点，也是佛山市快速冷却柜和快速冻结柜能占据国内外市场的法宝。这些性能指标的提高并优于或新增于国标、行标，将为促进佛山市快速冷却柜和快速冻结柜行业的高质量发展并引领行业的发展具有决定性作用，极大促进企业的市场品牌效应，</w:t>
      </w:r>
      <w:r>
        <w:rPr>
          <w:rFonts w:hint="eastAsia" w:ascii="仿宋" w:hAnsi="仿宋" w:eastAsia="仿宋" w:cs="仿宋"/>
          <w:bCs/>
          <w:sz w:val="28"/>
          <w:szCs w:val="28"/>
          <w:lang w:eastAsia="zh-CN"/>
        </w:rPr>
        <w:t>是国家推进产品更新换代和绿色发展的新质指标。</w:t>
      </w:r>
    </w:p>
    <w:p>
      <w:pPr>
        <w:pStyle w:val="16"/>
        <w:ind w:firstLine="560"/>
        <w:rPr>
          <w:rFonts w:ascii="仿宋" w:hAnsi="仿宋" w:eastAsia="仿宋" w:cs="仿宋"/>
          <w:bCs/>
          <w:sz w:val="28"/>
          <w:szCs w:val="28"/>
        </w:rPr>
      </w:pPr>
      <w:r>
        <w:rPr>
          <w:rFonts w:hint="eastAsia" w:ascii="仿宋" w:hAnsi="仿宋" w:eastAsia="仿宋" w:cs="仿宋"/>
          <w:bCs/>
          <w:sz w:val="28"/>
          <w:szCs w:val="28"/>
          <w:lang w:val="en-US" w:eastAsia="zh-CN"/>
        </w:rPr>
        <w:t>3</w:t>
      </w:r>
      <w:r>
        <w:rPr>
          <w:rFonts w:hint="eastAsia" w:ascii="仿宋" w:hAnsi="仿宋" w:eastAsia="仿宋" w:cs="仿宋"/>
          <w:bCs/>
          <w:sz w:val="28"/>
          <w:szCs w:val="28"/>
        </w:rPr>
        <w:t>）</w:t>
      </w:r>
      <w:bookmarkStart w:id="8" w:name="_Hlk161676697"/>
      <w:r>
        <w:rPr>
          <w:rFonts w:hint="eastAsia" w:ascii="仿宋" w:hAnsi="仿宋" w:eastAsia="仿宋" w:cs="仿宋"/>
          <w:bCs/>
          <w:sz w:val="28"/>
          <w:szCs w:val="28"/>
          <w:lang w:eastAsia="zh-CN"/>
        </w:rPr>
        <w:t>智能化性能</w:t>
      </w:r>
      <w:r>
        <w:rPr>
          <w:rFonts w:hint="eastAsia" w:ascii="仿宋" w:hAnsi="仿宋" w:eastAsia="仿宋" w:cs="仿宋"/>
          <w:bCs/>
          <w:sz w:val="28"/>
          <w:szCs w:val="28"/>
        </w:rPr>
        <w:t>：反映产品</w:t>
      </w:r>
      <w:r>
        <w:rPr>
          <w:rFonts w:hint="eastAsia" w:ascii="仿宋" w:hAnsi="仿宋" w:eastAsia="仿宋" w:cs="仿宋"/>
          <w:bCs/>
          <w:sz w:val="28"/>
          <w:szCs w:val="28"/>
          <w:lang w:eastAsia="zh-CN"/>
        </w:rPr>
        <w:t>高</w:t>
      </w:r>
      <w:r>
        <w:rPr>
          <w:rFonts w:hint="eastAsia" w:ascii="仿宋" w:hAnsi="仿宋" w:eastAsia="仿宋" w:cs="仿宋"/>
          <w:bCs/>
          <w:sz w:val="28"/>
          <w:szCs w:val="28"/>
        </w:rPr>
        <w:t>质量性</w:t>
      </w:r>
      <w:r>
        <w:rPr>
          <w:rFonts w:hint="eastAsia" w:ascii="仿宋" w:hAnsi="仿宋" w:eastAsia="仿宋" w:cs="仿宋"/>
          <w:bCs/>
          <w:sz w:val="28"/>
          <w:szCs w:val="28"/>
          <w:lang w:eastAsia="zh-CN"/>
        </w:rPr>
        <w:t>和前瞻性</w:t>
      </w:r>
      <w:r>
        <w:rPr>
          <w:rFonts w:hint="eastAsia" w:ascii="仿宋" w:hAnsi="仿宋" w:eastAsia="仿宋" w:cs="仿宋"/>
          <w:bCs/>
          <w:sz w:val="28"/>
          <w:szCs w:val="28"/>
        </w:rPr>
        <w:t>。</w:t>
      </w:r>
    </w:p>
    <w:p>
      <w:pPr>
        <w:pStyle w:val="16"/>
        <w:ind w:firstLine="560"/>
        <w:rPr>
          <w:rFonts w:hint="eastAsia" w:ascii="仿宋" w:hAnsi="仿宋" w:eastAsia="仿宋" w:cs="仿宋"/>
          <w:bCs/>
          <w:sz w:val="28"/>
          <w:szCs w:val="28"/>
        </w:rPr>
      </w:pPr>
      <w:r>
        <w:rPr>
          <w:rFonts w:hint="eastAsia" w:ascii="仿宋" w:hAnsi="仿宋" w:eastAsia="仿宋" w:cs="仿宋"/>
          <w:bCs/>
          <w:sz w:val="28"/>
          <w:szCs w:val="28"/>
        </w:rPr>
        <w:t>理由说明：</w:t>
      </w:r>
      <w:bookmarkEnd w:id="8"/>
      <w:r>
        <w:rPr>
          <w:rFonts w:hint="eastAsia" w:ascii="仿宋" w:hAnsi="仿宋" w:eastAsia="仿宋" w:cs="仿宋"/>
          <w:bCs/>
          <w:sz w:val="28"/>
          <w:szCs w:val="28"/>
          <w:lang w:eastAsia="zh-CN"/>
        </w:rPr>
        <w:t>产品智能化是国家产品更新换代和高质量产品要求的重要内容，是国家在十四五规范中重要产品发展和标准化方向，是国家高质量发展和新质生产力发展的重要内容，集中反映出产品的高质量性和前瞻性，为产品的高质量发展提供了动力</w:t>
      </w:r>
      <w:r>
        <w:rPr>
          <w:rFonts w:hint="eastAsia" w:ascii="仿宋" w:hAnsi="仿宋" w:eastAsia="仿宋" w:cs="仿宋"/>
          <w:bCs/>
          <w:sz w:val="28"/>
          <w:szCs w:val="28"/>
        </w:rPr>
        <w:t>。</w:t>
      </w:r>
    </w:p>
    <w:p>
      <w:pPr>
        <w:pStyle w:val="16"/>
        <w:spacing w:line="360" w:lineRule="auto"/>
        <w:ind w:firstLine="562"/>
        <w:rPr>
          <w:rFonts w:ascii="仿宋" w:hAnsi="仿宋" w:eastAsia="仿宋" w:cs="仿宋"/>
          <w:bCs/>
          <w:sz w:val="28"/>
          <w:szCs w:val="28"/>
        </w:rPr>
      </w:pPr>
      <w:r>
        <w:rPr>
          <w:rFonts w:hint="eastAsia" w:ascii="仿宋" w:hAnsi="仿宋" w:eastAsia="仿宋" w:cs="仿宋"/>
          <w:b/>
          <w:sz w:val="28"/>
          <w:szCs w:val="28"/>
          <w:lang w:val="en-US" w:eastAsia="zh-CN"/>
        </w:rPr>
        <w:t>4</w:t>
      </w:r>
      <w:r>
        <w:rPr>
          <w:rFonts w:hint="eastAsia" w:ascii="仿宋" w:hAnsi="仿宋" w:eastAsia="仿宋" w:cs="仿宋"/>
          <w:bCs/>
          <w:sz w:val="28"/>
          <w:szCs w:val="28"/>
        </w:rPr>
        <w:t>）</w:t>
      </w:r>
      <w:r>
        <w:rPr>
          <w:rFonts w:hint="eastAsia" w:ascii="仿宋" w:hAnsi="仿宋" w:eastAsia="仿宋" w:cs="仿宋"/>
          <w:bCs/>
          <w:sz w:val="28"/>
          <w:szCs w:val="28"/>
          <w:lang w:val="zh-CN" w:eastAsia="zh-CN"/>
        </w:rPr>
        <w:t>限用物质、制冷剂类型</w:t>
      </w:r>
      <w:r>
        <w:rPr>
          <w:rFonts w:hint="eastAsia" w:ascii="仿宋" w:hAnsi="仿宋" w:eastAsia="仿宋" w:cs="仿宋"/>
          <w:bCs/>
          <w:sz w:val="28"/>
          <w:szCs w:val="28"/>
        </w:rPr>
        <w:t>：反映产品安全环保属性要求。</w:t>
      </w:r>
    </w:p>
    <w:bookmarkEnd w:id="7"/>
    <w:p>
      <w:pPr>
        <w:pStyle w:val="16"/>
        <w:ind w:firstLine="560"/>
        <w:rPr>
          <w:rFonts w:hAnsi="宋体" w:cs="宋体"/>
          <w:kern w:val="2"/>
          <w:szCs w:val="21"/>
        </w:rPr>
      </w:pPr>
      <w:r>
        <w:rPr>
          <w:rFonts w:hint="eastAsia" w:ascii="仿宋" w:hAnsi="仿宋" w:eastAsia="仿宋" w:cs="仿宋"/>
          <w:bCs/>
          <w:sz w:val="28"/>
          <w:szCs w:val="28"/>
        </w:rPr>
        <w:t>理由说明：随着消费者对环保和健康的关注度不断提高，具备低有害物质含量的产品更容易受到市场的青睐。通过满足或超越相关标准和法规的要求，产品可以获得更多消费者的信任和认可，从而增强品牌影响力和市场份额</w:t>
      </w:r>
      <w:r>
        <w:rPr>
          <w:rFonts w:hint="eastAsia" w:ascii="仿宋" w:hAnsi="仿宋" w:eastAsia="仿宋" w:cs="仿宋"/>
          <w:bCs/>
          <w:sz w:val="28"/>
          <w:szCs w:val="28"/>
          <w:lang w:eastAsia="zh-CN"/>
        </w:rPr>
        <w:t>，也是国家绿色环保发展法律法规和政策要求</w:t>
      </w:r>
      <w:r>
        <w:rPr>
          <w:rFonts w:hint="eastAsia" w:ascii="仿宋" w:hAnsi="仿宋" w:eastAsia="仿宋" w:cs="仿宋"/>
          <w:bCs/>
          <w:sz w:val="28"/>
          <w:szCs w:val="28"/>
        </w:rPr>
        <w:t>。国标</w:t>
      </w:r>
      <w:r>
        <w:rPr>
          <w:rFonts w:hint="eastAsia" w:ascii="仿宋" w:hAnsi="仿宋" w:eastAsia="仿宋" w:cs="仿宋"/>
          <w:bCs/>
          <w:sz w:val="28"/>
          <w:szCs w:val="28"/>
          <w:lang w:eastAsia="zh-CN"/>
        </w:rPr>
        <w:t>、行标</w:t>
      </w:r>
      <w:r>
        <w:rPr>
          <w:rFonts w:hint="eastAsia" w:ascii="仿宋" w:hAnsi="仿宋" w:eastAsia="仿宋" w:cs="仿宋"/>
          <w:bCs/>
          <w:sz w:val="28"/>
          <w:szCs w:val="28"/>
        </w:rPr>
        <w:t>中没有规定</w:t>
      </w:r>
      <w:r>
        <w:rPr>
          <w:rFonts w:hint="eastAsia" w:ascii="仿宋" w:hAnsi="仿宋" w:eastAsia="仿宋" w:cs="仿宋"/>
          <w:bCs/>
          <w:sz w:val="28"/>
          <w:szCs w:val="28"/>
          <w:lang w:eastAsia="zh-CN"/>
        </w:rPr>
        <w:t>此两</w:t>
      </w:r>
      <w:r>
        <w:rPr>
          <w:rFonts w:hint="eastAsia" w:ascii="仿宋" w:hAnsi="仿宋" w:eastAsia="仿宋" w:cs="仿宋"/>
          <w:bCs/>
          <w:sz w:val="28"/>
          <w:szCs w:val="28"/>
        </w:rPr>
        <w:t>项指标，考虑到用户以及消费者特别关注此项指标，</w:t>
      </w:r>
      <w:r>
        <w:rPr>
          <w:rFonts w:hint="eastAsia" w:ascii="仿宋" w:hAnsi="仿宋" w:eastAsia="仿宋" w:cs="仿宋"/>
          <w:bCs/>
          <w:sz w:val="28"/>
          <w:szCs w:val="28"/>
          <w:lang w:eastAsia="zh-CN"/>
        </w:rPr>
        <w:t>且为国家绿色产业发展的要求，</w:t>
      </w:r>
      <w:r>
        <w:rPr>
          <w:rFonts w:hint="eastAsia" w:ascii="仿宋" w:hAnsi="仿宋" w:eastAsia="仿宋" w:cs="仿宋"/>
          <w:bCs/>
          <w:sz w:val="28"/>
          <w:szCs w:val="28"/>
        </w:rPr>
        <w:t>增加了此</w:t>
      </w:r>
      <w:r>
        <w:rPr>
          <w:rFonts w:hint="eastAsia" w:ascii="仿宋" w:hAnsi="仿宋" w:eastAsia="仿宋" w:cs="仿宋"/>
          <w:bCs/>
          <w:sz w:val="28"/>
          <w:szCs w:val="28"/>
          <w:lang w:eastAsia="zh-CN"/>
        </w:rPr>
        <w:t>两</w:t>
      </w:r>
      <w:r>
        <w:rPr>
          <w:rFonts w:hint="eastAsia" w:ascii="仿宋" w:hAnsi="仿宋" w:eastAsia="仿宋" w:cs="仿宋"/>
          <w:bCs/>
          <w:sz w:val="28"/>
          <w:szCs w:val="28"/>
        </w:rPr>
        <w:t>项指标的考核，且该项指标</w:t>
      </w:r>
      <w:r>
        <w:rPr>
          <w:rFonts w:hint="eastAsia" w:ascii="仿宋" w:hAnsi="仿宋" w:eastAsia="仿宋" w:cs="仿宋"/>
          <w:bCs/>
          <w:sz w:val="28"/>
          <w:szCs w:val="28"/>
          <w:lang w:eastAsia="zh-CN"/>
        </w:rPr>
        <w:t>不低于</w:t>
      </w:r>
      <w:r>
        <w:rPr>
          <w:rFonts w:hint="eastAsia" w:ascii="仿宋" w:hAnsi="仿宋" w:eastAsia="仿宋" w:cs="仿宋"/>
          <w:bCs/>
          <w:sz w:val="28"/>
          <w:szCs w:val="28"/>
        </w:rPr>
        <w:t>欧盟ROSH指令</w:t>
      </w:r>
      <w:r>
        <w:rPr>
          <w:rFonts w:hint="eastAsia" w:ascii="仿宋" w:hAnsi="仿宋" w:eastAsia="仿宋" w:cs="仿宋"/>
          <w:bCs/>
          <w:sz w:val="28"/>
          <w:szCs w:val="28"/>
          <w:lang w:eastAsia="zh-CN"/>
        </w:rPr>
        <w:t>的要求，也是是国家推进产品更新换代和绿色环保发展的新质指标。</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4.2  </w:t>
      </w:r>
      <w:r>
        <w:rPr>
          <w:rFonts w:ascii="黑体" w:hAnsi="宋体" w:eastAsia="黑体" w:cs="黑体"/>
          <w:sz w:val="28"/>
          <w:szCs w:val="28"/>
          <w:lang w:eastAsia="zh-CN"/>
        </w:rPr>
        <w:t>试验方法</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本标准要求指标的试验方法均有对应的国家标准和行业标准测试方法，所以本标准的试验方法均采用相应的国家标准和行业标准测试方法进行。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3</w:t>
      </w:r>
      <w:r>
        <w:rPr>
          <w:rFonts w:hint="eastAsia" w:ascii="黑体" w:hAnsi="宋体" w:eastAsia="黑体" w:cs="黑体"/>
          <w:sz w:val="28"/>
          <w:szCs w:val="28"/>
          <w:lang w:eastAsia="zh-CN"/>
        </w:rPr>
        <w:t xml:space="preserve">  </w:t>
      </w:r>
      <w:r>
        <w:rPr>
          <w:rFonts w:ascii="黑体" w:hAnsi="宋体" w:eastAsia="黑体" w:cs="黑体"/>
          <w:sz w:val="28"/>
          <w:szCs w:val="28"/>
          <w:lang w:eastAsia="zh-CN"/>
        </w:rPr>
        <w:t>检验规则</w:t>
      </w:r>
    </w:p>
    <w:p>
      <w:pPr>
        <w:spacing w:line="276"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根据产品标准的要求，兼顾生产方、买方及第三方的需求，既要保证判定的准确性又要力求可行，将判定规则分为出厂检验和型式检验，分别明确了检验项目、不合格分类及抽样方案和判定规则的确定。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4</w:t>
      </w:r>
      <w:r>
        <w:rPr>
          <w:rFonts w:hint="eastAsia" w:ascii="黑体" w:hAnsi="宋体" w:eastAsia="黑体" w:cs="黑体"/>
          <w:sz w:val="28"/>
          <w:szCs w:val="28"/>
          <w:lang w:eastAsia="zh-CN"/>
        </w:rPr>
        <w:t xml:space="preserve">  标志、</w:t>
      </w:r>
      <w:r>
        <w:rPr>
          <w:rFonts w:ascii="黑体" w:hAnsi="宋体" w:eastAsia="黑体" w:cs="黑体"/>
          <w:sz w:val="28"/>
          <w:szCs w:val="28"/>
          <w:lang w:eastAsia="zh-CN"/>
        </w:rPr>
        <w:t>包装、运输、贮存</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根据国家对产品的使用说明要求，标准规定了产品的使用说明应符合标准中的技术要求。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产品包装按规定执行，运输、贮存根据产品的需要作了相应的规定。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4.5  质量承诺</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规定了产品保修期、维修服务和客户响应。</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5  与现行相关法律、法规、规章及相关标准的协调性</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本标准内容符合现行法律、法规。</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6  标准的实施与宣贯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已批准发布的佛山标准，文本由佛山市佛山标准和卓越绩效管理促进会在官方网站 （http://）上全文公布，供社会免费查阅。鼓励相关单位在标准信息公共服务平台（http://www.cpbz.gov.cn/）上自我声明公开执行本标准。</w:t>
      </w:r>
      <w:r>
        <w:rPr>
          <w:rFonts w:ascii="仿宋" w:hAnsi="仿宋" w:eastAsia="仿宋" w:cs="仿宋"/>
          <w:sz w:val="28"/>
          <w:szCs w:val="28"/>
          <w:lang w:eastAsia="zh-CN"/>
        </w:rPr>
        <w:t> </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7  其他应予说明的事项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标准不涉及专利。</w:t>
      </w:r>
    </w:p>
    <w:p>
      <w:pPr>
        <w:widowControl/>
        <w:spacing w:line="360" w:lineRule="auto"/>
        <w:ind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 xml:space="preserve">《佛山标准 </w:t>
      </w:r>
      <w:r>
        <w:rPr>
          <w:rFonts w:hint="eastAsia" w:ascii="仿宋" w:hAnsi="仿宋" w:eastAsia="仿宋" w:cs="仿宋"/>
          <w:bCs/>
          <w:sz w:val="28"/>
          <w:szCs w:val="28"/>
          <w:lang w:val="en-US" w:eastAsia="zh-CN"/>
        </w:rPr>
        <w:t>快速冷却柜和快速冷冻柜</w:t>
      </w:r>
      <w:r>
        <w:rPr>
          <w:rFonts w:hint="eastAsia" w:ascii="仿宋" w:hAnsi="仿宋" w:eastAsia="仿宋" w:cs="仿宋"/>
          <w:sz w:val="28"/>
          <w:szCs w:val="28"/>
          <w:lang w:eastAsia="zh-CN"/>
        </w:rPr>
        <w:t xml:space="preserve">》标准研制工作组 </w:t>
      </w:r>
    </w:p>
    <w:p>
      <w:pPr>
        <w:widowControl/>
        <w:spacing w:line="360" w:lineRule="auto"/>
        <w:ind w:right="1120"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w:t>
      </w:r>
      <w:r>
        <w:rPr>
          <w:rFonts w:hint="default" w:ascii="仿宋" w:hAnsi="仿宋" w:eastAsia="仿宋" w:cs="仿宋"/>
          <w:sz w:val="28"/>
          <w:szCs w:val="28"/>
          <w:lang w:val="en-US" w:eastAsia="zh-CN"/>
        </w:rPr>
        <w:t>2</w:t>
      </w:r>
      <w:r>
        <w:rPr>
          <w:rFonts w:hint="eastAsia" w:ascii="仿宋" w:hAnsi="仿宋" w:eastAsia="仿宋" w:cs="仿宋"/>
          <w:sz w:val="28"/>
          <w:szCs w:val="28"/>
          <w:lang w:val="en-US" w:eastAsia="zh-CN"/>
        </w:rPr>
        <w:t>8</w:t>
      </w:r>
      <w:r>
        <w:rPr>
          <w:rFonts w:hint="eastAsia" w:ascii="仿宋" w:hAnsi="仿宋" w:eastAsia="仿宋" w:cs="仿宋"/>
          <w:sz w:val="28"/>
          <w:szCs w:val="28"/>
          <w:lang w:eastAsia="zh-CN"/>
        </w:rPr>
        <w:t>日</w:t>
      </w:r>
    </w:p>
    <w:sectPr>
      <w:footerReference r:id="rId3" w:type="default"/>
      <w:pgSz w:w="11906" w:h="16838"/>
      <w:pgMar w:top="1440" w:right="1080" w:bottom="1440" w:left="1080" w:header="851" w:footer="992" w:gutter="0"/>
      <w:cols w:space="425" w:num="1"/>
      <w:docGrid w:type="lines" w:linePitch="32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lang w:eastAsia="zh-CN"/>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v:path/>
          <v:fill on="f" focussize="0,0"/>
          <v:stroke on="f" weight="0.5pt" joinstyle="miter"/>
          <v:imagedata o:title=""/>
          <o:lock v:ext="edit"/>
          <v:textbox inset="0mm,0mm,0mm,0mm" style="mso-fit-shape-to-text:t;">
            <w:txbxContent>
              <w:p>
                <w:pPr>
                  <w:pStyle w:val="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10</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EC9D27"/>
    <w:multiLevelType w:val="singleLevel"/>
    <w:tmpl w:val="F2EC9D27"/>
    <w:lvl w:ilvl="0" w:tentative="0">
      <w:start w:val="1"/>
      <w:numFmt w:val="decimal"/>
      <w:suff w:val="nothing"/>
      <w:lvlText w:val="%1）"/>
      <w:lvlJc w:val="left"/>
    </w:lvl>
  </w:abstractNum>
  <w:abstractNum w:abstractNumId="1">
    <w:nsid w:val="079102AD"/>
    <w:multiLevelType w:val="multilevel"/>
    <w:tmpl w:val="079102AD"/>
    <w:lvl w:ilvl="0" w:tentative="0">
      <w:start w:val="1"/>
      <w:numFmt w:val="decimal"/>
      <w:pStyle w:val="2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9782EDA"/>
    <w:multiLevelType w:val="multilevel"/>
    <w:tmpl w:val="19782EDA"/>
    <w:lvl w:ilvl="0" w:tentative="0">
      <w:start w:val="1"/>
      <w:numFmt w:val="lowerLetter"/>
      <w:pStyle w:val="22"/>
      <w:lvlText w:val="%1)"/>
      <w:lvlJc w:val="left"/>
      <w:pPr>
        <w:tabs>
          <w:tab w:val="left" w:pos="840"/>
        </w:tabs>
        <w:ind w:left="839" w:hanging="419"/>
      </w:pPr>
      <w:rPr>
        <w:rFonts w:hint="eastAsia" w:ascii="宋体" w:hAnsi="Times New Roman" w:eastAsia="宋体" w:cs="宋体"/>
        <w:b w:val="0"/>
        <w:sz w:val="21"/>
        <w:szCs w:val="21"/>
      </w:rPr>
    </w:lvl>
    <w:lvl w:ilvl="1" w:tentative="0">
      <w:start w:val="1"/>
      <w:numFmt w:val="decimal"/>
      <w:lvlText w:val="%2)"/>
      <w:lvlJc w:val="left"/>
      <w:pPr>
        <w:tabs>
          <w:tab w:val="left" w:pos="1260"/>
        </w:tabs>
        <w:ind w:left="1259" w:hanging="419"/>
      </w:pPr>
    </w:lvl>
    <w:lvl w:ilvl="2" w:tentative="0">
      <w:start w:val="1"/>
      <w:numFmt w:val="decimal"/>
      <w:lvlText w:val="(%3)"/>
      <w:lvlJc w:val="left"/>
      <w:pPr>
        <w:tabs>
          <w:tab w:val="left" w:pos="0"/>
        </w:tabs>
        <w:ind w:left="1679" w:hanging="420"/>
      </w:pPr>
      <w:rPr>
        <w:rFonts w:hint="eastAsia" w:ascii="宋体" w:hAnsi="Times New Roman" w:eastAsia="宋体" w:cs="宋体"/>
        <w:b w:val="0"/>
        <w:sz w:val="21"/>
        <w:szCs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57C2AF5"/>
    <w:multiLevelType w:val="multilevel"/>
    <w:tmpl w:val="557C2AF5"/>
    <w:lvl w:ilvl="0" w:tentative="0">
      <w:start w:val="1"/>
      <w:numFmt w:val="decimal"/>
      <w:pStyle w:val="3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tentative="0">
      <w:start w:val="1"/>
      <w:numFmt w:val="decimal"/>
      <w:pStyle w:val="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7D090C6"/>
    <w:multiLevelType w:val="multilevel"/>
    <w:tmpl w:val="67D090C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7">
    <w:nsid w:val="6FC930AC"/>
    <w:multiLevelType w:val="multilevel"/>
    <w:tmpl w:val="6FC930AC"/>
    <w:lvl w:ilvl="0" w:tentative="0">
      <w:start w:val="1"/>
      <w:numFmt w:val="decimal"/>
      <w:pStyle w:val="42"/>
      <w:suff w:val="nothing"/>
      <w:lvlText w:val="%1　"/>
      <w:lvlJc w:val="left"/>
      <w:pPr>
        <w:ind w:left="0" w:firstLine="0"/>
      </w:pPr>
      <w:rPr>
        <w:rFonts w:hint="eastAsia" w:ascii="黑体" w:hAnsi="黑体" w:eastAsia="黑体"/>
        <w:sz w:val="20"/>
      </w:rPr>
    </w:lvl>
    <w:lvl w:ilvl="1" w:tentative="0">
      <w:start w:val="1"/>
      <w:numFmt w:val="decimal"/>
      <w:pStyle w:val="41"/>
      <w:suff w:val="nothing"/>
      <w:lvlText w:val="%1.%2　"/>
      <w:lvlJc w:val="left"/>
      <w:pPr>
        <w:ind w:left="1276" w:firstLine="0"/>
      </w:pPr>
      <w:rPr>
        <w:rFonts w:hint="eastAsia" w:ascii="黑体" w:hAnsi="黑体" w:eastAsia="黑体"/>
        <w:sz w:val="20"/>
      </w:rPr>
    </w:lvl>
    <w:lvl w:ilvl="2" w:tentative="0">
      <w:start w:val="1"/>
      <w:numFmt w:val="decimal"/>
      <w:pStyle w:val="40"/>
      <w:suff w:val="nothing"/>
      <w:lvlText w:val="%1.%2.%3　"/>
      <w:lvlJc w:val="left"/>
      <w:pPr>
        <w:ind w:left="0" w:firstLine="0"/>
      </w:pPr>
      <w:rPr>
        <w:rFonts w:hint="eastAsia" w:ascii="黑体" w:hAnsi="黑体" w:eastAsia="黑体"/>
        <w:sz w:val="20"/>
      </w:rPr>
    </w:lvl>
    <w:lvl w:ilvl="3" w:tentative="0">
      <w:start w:val="1"/>
      <w:numFmt w:val="decimal"/>
      <w:pStyle w:val="44"/>
      <w:suff w:val="nothing"/>
      <w:lvlText w:val="%1.%2.%3.%4　"/>
      <w:lvlJc w:val="left"/>
      <w:pPr>
        <w:ind w:left="0" w:firstLine="0"/>
      </w:pPr>
      <w:rPr>
        <w:rFonts w:hint="eastAsia" w:ascii="黑体" w:hAnsi="黑体" w:eastAsia="黑体"/>
        <w:sz w:val="20"/>
      </w:rPr>
    </w:lvl>
    <w:lvl w:ilvl="4" w:tentative="0">
      <w:start w:val="1"/>
      <w:numFmt w:val="decimal"/>
      <w:suff w:val="nothing"/>
      <w:lvlText w:val="%1.%2.%3.%4.%5　"/>
      <w:lvlJc w:val="left"/>
      <w:pPr>
        <w:ind w:left="0" w:firstLine="0"/>
      </w:pPr>
      <w:rPr>
        <w:rFonts w:hint="eastAsia" w:ascii="黑体" w:hAnsi="黑体" w:eastAsia="黑体"/>
        <w:sz w:val="20"/>
      </w:rPr>
    </w:lvl>
    <w:lvl w:ilvl="5" w:tentative="0">
      <w:start w:val="1"/>
      <w:numFmt w:val="decimal"/>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7279CB2F"/>
    <w:multiLevelType w:val="singleLevel"/>
    <w:tmpl w:val="7279CB2F"/>
    <w:lvl w:ilvl="0" w:tentative="0">
      <w:start w:val="1"/>
      <w:numFmt w:val="decimal"/>
      <w:suff w:val="nothing"/>
      <w:lvlText w:val="%1）"/>
      <w:lvlJc w:val="left"/>
    </w:lvl>
  </w:abstractNum>
  <w:num w:numId="1">
    <w:abstractNumId w:val="3"/>
  </w:num>
  <w:num w:numId="2">
    <w:abstractNumId w:val="2"/>
  </w:num>
  <w:num w:numId="3">
    <w:abstractNumId w:val="1"/>
  </w:num>
  <w:num w:numId="4">
    <w:abstractNumId w:val="5"/>
  </w:num>
  <w:num w:numId="5">
    <w:abstractNumId w:val="4"/>
  </w:num>
  <w:num w:numId="6">
    <w:abstractNumId w:val="7"/>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Q3NzI0YjNlNjM1OWRmMTNmYzVhZDE1Nzk1MzVlOTEifQ=="/>
  </w:docVars>
  <w:rsids>
    <w:rsidRoot w:val="5EBC12FA"/>
    <w:rsid w:val="00002D36"/>
    <w:rsid w:val="00010510"/>
    <w:rsid w:val="0001069C"/>
    <w:rsid w:val="0001178E"/>
    <w:rsid w:val="00011B1D"/>
    <w:rsid w:val="000133BD"/>
    <w:rsid w:val="00017C5C"/>
    <w:rsid w:val="00020296"/>
    <w:rsid w:val="000210B7"/>
    <w:rsid w:val="0002183F"/>
    <w:rsid w:val="00021B53"/>
    <w:rsid w:val="0002393D"/>
    <w:rsid w:val="000256A0"/>
    <w:rsid w:val="00026E7C"/>
    <w:rsid w:val="000315F1"/>
    <w:rsid w:val="000324BA"/>
    <w:rsid w:val="000327C0"/>
    <w:rsid w:val="0003468E"/>
    <w:rsid w:val="00035EB0"/>
    <w:rsid w:val="000379E8"/>
    <w:rsid w:val="000400C3"/>
    <w:rsid w:val="0004121A"/>
    <w:rsid w:val="000416D2"/>
    <w:rsid w:val="00041A0B"/>
    <w:rsid w:val="000439EC"/>
    <w:rsid w:val="00046ECD"/>
    <w:rsid w:val="000532DB"/>
    <w:rsid w:val="00054019"/>
    <w:rsid w:val="00055186"/>
    <w:rsid w:val="000574F9"/>
    <w:rsid w:val="0005788F"/>
    <w:rsid w:val="00061B69"/>
    <w:rsid w:val="00061FBE"/>
    <w:rsid w:val="000630C5"/>
    <w:rsid w:val="00063DFD"/>
    <w:rsid w:val="0006524A"/>
    <w:rsid w:val="00066063"/>
    <w:rsid w:val="000673F4"/>
    <w:rsid w:val="00067B62"/>
    <w:rsid w:val="00070FBE"/>
    <w:rsid w:val="000738BC"/>
    <w:rsid w:val="000760AF"/>
    <w:rsid w:val="00076BAA"/>
    <w:rsid w:val="0008080B"/>
    <w:rsid w:val="00081572"/>
    <w:rsid w:val="0008480B"/>
    <w:rsid w:val="00085839"/>
    <w:rsid w:val="0008624E"/>
    <w:rsid w:val="00087088"/>
    <w:rsid w:val="0008780E"/>
    <w:rsid w:val="0009129D"/>
    <w:rsid w:val="0009542D"/>
    <w:rsid w:val="000960BF"/>
    <w:rsid w:val="000973D8"/>
    <w:rsid w:val="00097D97"/>
    <w:rsid w:val="000A0057"/>
    <w:rsid w:val="000A03FB"/>
    <w:rsid w:val="000A1E89"/>
    <w:rsid w:val="000A4042"/>
    <w:rsid w:val="000A43C3"/>
    <w:rsid w:val="000A466B"/>
    <w:rsid w:val="000B040B"/>
    <w:rsid w:val="000B1D65"/>
    <w:rsid w:val="000B29B4"/>
    <w:rsid w:val="000B420C"/>
    <w:rsid w:val="000B71E6"/>
    <w:rsid w:val="000B7755"/>
    <w:rsid w:val="000C2289"/>
    <w:rsid w:val="000C3665"/>
    <w:rsid w:val="000C4BCF"/>
    <w:rsid w:val="000C6CB6"/>
    <w:rsid w:val="000C7C69"/>
    <w:rsid w:val="000D0B48"/>
    <w:rsid w:val="000D1BE4"/>
    <w:rsid w:val="000D34D8"/>
    <w:rsid w:val="000D4BC3"/>
    <w:rsid w:val="000D579A"/>
    <w:rsid w:val="000E007C"/>
    <w:rsid w:val="000E03A1"/>
    <w:rsid w:val="000E074D"/>
    <w:rsid w:val="000E176B"/>
    <w:rsid w:val="000E4E4F"/>
    <w:rsid w:val="000E53C5"/>
    <w:rsid w:val="000F14B2"/>
    <w:rsid w:val="000F2509"/>
    <w:rsid w:val="000F252D"/>
    <w:rsid w:val="00101C70"/>
    <w:rsid w:val="00101ECB"/>
    <w:rsid w:val="0010348A"/>
    <w:rsid w:val="00106EAD"/>
    <w:rsid w:val="00110881"/>
    <w:rsid w:val="00111465"/>
    <w:rsid w:val="001114FF"/>
    <w:rsid w:val="0012051C"/>
    <w:rsid w:val="00124AB0"/>
    <w:rsid w:val="00127180"/>
    <w:rsid w:val="00131104"/>
    <w:rsid w:val="001354F7"/>
    <w:rsid w:val="001368AB"/>
    <w:rsid w:val="00137EC5"/>
    <w:rsid w:val="001403CC"/>
    <w:rsid w:val="001422EC"/>
    <w:rsid w:val="00142703"/>
    <w:rsid w:val="00151F4E"/>
    <w:rsid w:val="001522C3"/>
    <w:rsid w:val="00154027"/>
    <w:rsid w:val="00157412"/>
    <w:rsid w:val="00160A3B"/>
    <w:rsid w:val="001620FC"/>
    <w:rsid w:val="001665F6"/>
    <w:rsid w:val="001673BC"/>
    <w:rsid w:val="00174901"/>
    <w:rsid w:val="0017524B"/>
    <w:rsid w:val="00177050"/>
    <w:rsid w:val="001805B8"/>
    <w:rsid w:val="00187A3D"/>
    <w:rsid w:val="00192A8A"/>
    <w:rsid w:val="001955CB"/>
    <w:rsid w:val="0019614F"/>
    <w:rsid w:val="001A4E9C"/>
    <w:rsid w:val="001A6329"/>
    <w:rsid w:val="001A634B"/>
    <w:rsid w:val="001A7065"/>
    <w:rsid w:val="001A7B84"/>
    <w:rsid w:val="001B06B8"/>
    <w:rsid w:val="001B1B8E"/>
    <w:rsid w:val="001B4C07"/>
    <w:rsid w:val="001B4F98"/>
    <w:rsid w:val="001B7C1E"/>
    <w:rsid w:val="001C076A"/>
    <w:rsid w:val="001C29DA"/>
    <w:rsid w:val="001C37E3"/>
    <w:rsid w:val="001C4949"/>
    <w:rsid w:val="001C7AA8"/>
    <w:rsid w:val="001C7BB6"/>
    <w:rsid w:val="001D6418"/>
    <w:rsid w:val="001D6A9E"/>
    <w:rsid w:val="001E0E6D"/>
    <w:rsid w:val="001E1893"/>
    <w:rsid w:val="001E383F"/>
    <w:rsid w:val="001E6A03"/>
    <w:rsid w:val="001F4EE2"/>
    <w:rsid w:val="001F6E8E"/>
    <w:rsid w:val="001F74B6"/>
    <w:rsid w:val="0020028E"/>
    <w:rsid w:val="002011A2"/>
    <w:rsid w:val="0020124A"/>
    <w:rsid w:val="00205F8F"/>
    <w:rsid w:val="002060F4"/>
    <w:rsid w:val="00206D85"/>
    <w:rsid w:val="0020738D"/>
    <w:rsid w:val="00216CD4"/>
    <w:rsid w:val="00221540"/>
    <w:rsid w:val="002215F7"/>
    <w:rsid w:val="0022161E"/>
    <w:rsid w:val="00221B6D"/>
    <w:rsid w:val="002274A4"/>
    <w:rsid w:val="00227F08"/>
    <w:rsid w:val="00230F1B"/>
    <w:rsid w:val="002317F8"/>
    <w:rsid w:val="002329C3"/>
    <w:rsid w:val="002350EA"/>
    <w:rsid w:val="002400C7"/>
    <w:rsid w:val="00242C58"/>
    <w:rsid w:val="00244A0D"/>
    <w:rsid w:val="00244B76"/>
    <w:rsid w:val="00244E49"/>
    <w:rsid w:val="00246CAA"/>
    <w:rsid w:val="0024794B"/>
    <w:rsid w:val="00250AC6"/>
    <w:rsid w:val="00253AA8"/>
    <w:rsid w:val="00257EDA"/>
    <w:rsid w:val="00263B91"/>
    <w:rsid w:val="00264B27"/>
    <w:rsid w:val="002651C7"/>
    <w:rsid w:val="00266373"/>
    <w:rsid w:val="002702B7"/>
    <w:rsid w:val="00271257"/>
    <w:rsid w:val="00271ADF"/>
    <w:rsid w:val="00277FAD"/>
    <w:rsid w:val="00281521"/>
    <w:rsid w:val="00281848"/>
    <w:rsid w:val="00281C72"/>
    <w:rsid w:val="00282F6B"/>
    <w:rsid w:val="002834AE"/>
    <w:rsid w:val="00283E16"/>
    <w:rsid w:val="002864DD"/>
    <w:rsid w:val="002867A3"/>
    <w:rsid w:val="00287145"/>
    <w:rsid w:val="002912CF"/>
    <w:rsid w:val="00293B91"/>
    <w:rsid w:val="00294765"/>
    <w:rsid w:val="00294B38"/>
    <w:rsid w:val="00294D13"/>
    <w:rsid w:val="002A1F2C"/>
    <w:rsid w:val="002A4377"/>
    <w:rsid w:val="002A6D11"/>
    <w:rsid w:val="002A6E58"/>
    <w:rsid w:val="002A7F08"/>
    <w:rsid w:val="002B1159"/>
    <w:rsid w:val="002B1C95"/>
    <w:rsid w:val="002B207C"/>
    <w:rsid w:val="002B7DE2"/>
    <w:rsid w:val="002C11AC"/>
    <w:rsid w:val="002C2535"/>
    <w:rsid w:val="002C38B5"/>
    <w:rsid w:val="002C57FC"/>
    <w:rsid w:val="002C782D"/>
    <w:rsid w:val="002D1B11"/>
    <w:rsid w:val="002D3DEF"/>
    <w:rsid w:val="002E4FB0"/>
    <w:rsid w:val="002E6186"/>
    <w:rsid w:val="002E6C99"/>
    <w:rsid w:val="002F16CD"/>
    <w:rsid w:val="002F1B13"/>
    <w:rsid w:val="002F226C"/>
    <w:rsid w:val="002F3A01"/>
    <w:rsid w:val="002F448C"/>
    <w:rsid w:val="002F4C40"/>
    <w:rsid w:val="003014FB"/>
    <w:rsid w:val="00301655"/>
    <w:rsid w:val="00304B2E"/>
    <w:rsid w:val="00306562"/>
    <w:rsid w:val="003147F9"/>
    <w:rsid w:val="00321415"/>
    <w:rsid w:val="003216CD"/>
    <w:rsid w:val="00322FE3"/>
    <w:rsid w:val="003233E8"/>
    <w:rsid w:val="00335D75"/>
    <w:rsid w:val="0034212A"/>
    <w:rsid w:val="003446E3"/>
    <w:rsid w:val="00344E73"/>
    <w:rsid w:val="00353C90"/>
    <w:rsid w:val="0035716D"/>
    <w:rsid w:val="00357589"/>
    <w:rsid w:val="00357EF1"/>
    <w:rsid w:val="0036151E"/>
    <w:rsid w:val="00363708"/>
    <w:rsid w:val="0036388E"/>
    <w:rsid w:val="00365011"/>
    <w:rsid w:val="0036575A"/>
    <w:rsid w:val="00365B55"/>
    <w:rsid w:val="00366E71"/>
    <w:rsid w:val="0037008B"/>
    <w:rsid w:val="00373E56"/>
    <w:rsid w:val="003754A7"/>
    <w:rsid w:val="003761C2"/>
    <w:rsid w:val="0037647E"/>
    <w:rsid w:val="00377747"/>
    <w:rsid w:val="003806C6"/>
    <w:rsid w:val="00382119"/>
    <w:rsid w:val="0038265D"/>
    <w:rsid w:val="00382F30"/>
    <w:rsid w:val="00383123"/>
    <w:rsid w:val="003852C7"/>
    <w:rsid w:val="00387619"/>
    <w:rsid w:val="00391E6A"/>
    <w:rsid w:val="003920D1"/>
    <w:rsid w:val="00392E7F"/>
    <w:rsid w:val="003935F0"/>
    <w:rsid w:val="003A2729"/>
    <w:rsid w:val="003A294C"/>
    <w:rsid w:val="003A4471"/>
    <w:rsid w:val="003A6933"/>
    <w:rsid w:val="003A6F31"/>
    <w:rsid w:val="003B1DCC"/>
    <w:rsid w:val="003B434C"/>
    <w:rsid w:val="003B4646"/>
    <w:rsid w:val="003B523B"/>
    <w:rsid w:val="003B61C4"/>
    <w:rsid w:val="003B7AAA"/>
    <w:rsid w:val="003B7CD0"/>
    <w:rsid w:val="003B7DB1"/>
    <w:rsid w:val="003C1C38"/>
    <w:rsid w:val="003C27D7"/>
    <w:rsid w:val="003C53D9"/>
    <w:rsid w:val="003C633A"/>
    <w:rsid w:val="003C6353"/>
    <w:rsid w:val="003D0264"/>
    <w:rsid w:val="003D05AA"/>
    <w:rsid w:val="003E101B"/>
    <w:rsid w:val="003E11D6"/>
    <w:rsid w:val="003E1B3E"/>
    <w:rsid w:val="003E1BBA"/>
    <w:rsid w:val="003E1EA4"/>
    <w:rsid w:val="003E2D05"/>
    <w:rsid w:val="003E4AF6"/>
    <w:rsid w:val="003E6541"/>
    <w:rsid w:val="003F518E"/>
    <w:rsid w:val="00402E8B"/>
    <w:rsid w:val="00403B11"/>
    <w:rsid w:val="00405B9E"/>
    <w:rsid w:val="0040752C"/>
    <w:rsid w:val="0041035E"/>
    <w:rsid w:val="00410A58"/>
    <w:rsid w:val="004117B5"/>
    <w:rsid w:val="00414868"/>
    <w:rsid w:val="0041491C"/>
    <w:rsid w:val="00414E87"/>
    <w:rsid w:val="0041610B"/>
    <w:rsid w:val="004206AF"/>
    <w:rsid w:val="004206C8"/>
    <w:rsid w:val="00421517"/>
    <w:rsid w:val="004252B8"/>
    <w:rsid w:val="00425E47"/>
    <w:rsid w:val="00427688"/>
    <w:rsid w:val="00427D0F"/>
    <w:rsid w:val="00431B7D"/>
    <w:rsid w:val="00434715"/>
    <w:rsid w:val="00437BBC"/>
    <w:rsid w:val="004408E1"/>
    <w:rsid w:val="0044136E"/>
    <w:rsid w:val="00441D4F"/>
    <w:rsid w:val="0044370C"/>
    <w:rsid w:val="00444833"/>
    <w:rsid w:val="004455B9"/>
    <w:rsid w:val="0044647E"/>
    <w:rsid w:val="0045134B"/>
    <w:rsid w:val="00454A10"/>
    <w:rsid w:val="00455DCD"/>
    <w:rsid w:val="004563C2"/>
    <w:rsid w:val="004567D2"/>
    <w:rsid w:val="004601C6"/>
    <w:rsid w:val="00461F94"/>
    <w:rsid w:val="00462AEF"/>
    <w:rsid w:val="0046556B"/>
    <w:rsid w:val="00467449"/>
    <w:rsid w:val="0047005D"/>
    <w:rsid w:val="00470A7D"/>
    <w:rsid w:val="0047385A"/>
    <w:rsid w:val="00473D05"/>
    <w:rsid w:val="0047510E"/>
    <w:rsid w:val="0047574F"/>
    <w:rsid w:val="00477962"/>
    <w:rsid w:val="00482E82"/>
    <w:rsid w:val="0048578A"/>
    <w:rsid w:val="00485AD9"/>
    <w:rsid w:val="00490A31"/>
    <w:rsid w:val="00492782"/>
    <w:rsid w:val="0049433D"/>
    <w:rsid w:val="00494B94"/>
    <w:rsid w:val="004966D8"/>
    <w:rsid w:val="00497603"/>
    <w:rsid w:val="004A248B"/>
    <w:rsid w:val="004A64F5"/>
    <w:rsid w:val="004A68BA"/>
    <w:rsid w:val="004A73F6"/>
    <w:rsid w:val="004B07A8"/>
    <w:rsid w:val="004B2320"/>
    <w:rsid w:val="004B5221"/>
    <w:rsid w:val="004B59D8"/>
    <w:rsid w:val="004B7473"/>
    <w:rsid w:val="004C1DDC"/>
    <w:rsid w:val="004C768A"/>
    <w:rsid w:val="004D13D4"/>
    <w:rsid w:val="004D14A2"/>
    <w:rsid w:val="004D2BB9"/>
    <w:rsid w:val="004D4F92"/>
    <w:rsid w:val="004E0381"/>
    <w:rsid w:val="004E18D1"/>
    <w:rsid w:val="004E5CAA"/>
    <w:rsid w:val="004F20D7"/>
    <w:rsid w:val="004F3238"/>
    <w:rsid w:val="004F4268"/>
    <w:rsid w:val="004F5A0D"/>
    <w:rsid w:val="004F602B"/>
    <w:rsid w:val="00500F0C"/>
    <w:rsid w:val="005063CA"/>
    <w:rsid w:val="0051255A"/>
    <w:rsid w:val="00514E71"/>
    <w:rsid w:val="005168F0"/>
    <w:rsid w:val="00521868"/>
    <w:rsid w:val="00522646"/>
    <w:rsid w:val="00522869"/>
    <w:rsid w:val="00523A2F"/>
    <w:rsid w:val="0052528F"/>
    <w:rsid w:val="0053036C"/>
    <w:rsid w:val="00530AE3"/>
    <w:rsid w:val="00531905"/>
    <w:rsid w:val="0054426D"/>
    <w:rsid w:val="00544805"/>
    <w:rsid w:val="00545D6A"/>
    <w:rsid w:val="00546067"/>
    <w:rsid w:val="005466E8"/>
    <w:rsid w:val="00551008"/>
    <w:rsid w:val="005546C6"/>
    <w:rsid w:val="00554962"/>
    <w:rsid w:val="00555EFC"/>
    <w:rsid w:val="00562D2E"/>
    <w:rsid w:val="005632F6"/>
    <w:rsid w:val="005637C1"/>
    <w:rsid w:val="00564246"/>
    <w:rsid w:val="0056425C"/>
    <w:rsid w:val="00567894"/>
    <w:rsid w:val="005710E8"/>
    <w:rsid w:val="005727B0"/>
    <w:rsid w:val="00575827"/>
    <w:rsid w:val="00575E97"/>
    <w:rsid w:val="005770DC"/>
    <w:rsid w:val="00577CBB"/>
    <w:rsid w:val="00585DE2"/>
    <w:rsid w:val="00587050"/>
    <w:rsid w:val="0058749A"/>
    <w:rsid w:val="00587ED9"/>
    <w:rsid w:val="005912D6"/>
    <w:rsid w:val="00591FE7"/>
    <w:rsid w:val="00594DDE"/>
    <w:rsid w:val="00595B33"/>
    <w:rsid w:val="00596341"/>
    <w:rsid w:val="005A22EC"/>
    <w:rsid w:val="005A2C0F"/>
    <w:rsid w:val="005A3F23"/>
    <w:rsid w:val="005B0448"/>
    <w:rsid w:val="005B1E54"/>
    <w:rsid w:val="005B64B8"/>
    <w:rsid w:val="005B7834"/>
    <w:rsid w:val="005B7E28"/>
    <w:rsid w:val="005C02FA"/>
    <w:rsid w:val="005C40E6"/>
    <w:rsid w:val="005C4302"/>
    <w:rsid w:val="005C597B"/>
    <w:rsid w:val="005C59BA"/>
    <w:rsid w:val="005C7FED"/>
    <w:rsid w:val="005D08FA"/>
    <w:rsid w:val="005D1622"/>
    <w:rsid w:val="005D1E75"/>
    <w:rsid w:val="005D483A"/>
    <w:rsid w:val="005E05D8"/>
    <w:rsid w:val="005E1235"/>
    <w:rsid w:val="005E4B37"/>
    <w:rsid w:val="005E506B"/>
    <w:rsid w:val="005E7033"/>
    <w:rsid w:val="005F07C1"/>
    <w:rsid w:val="005F119D"/>
    <w:rsid w:val="005F17C0"/>
    <w:rsid w:val="005F1F0E"/>
    <w:rsid w:val="005F3267"/>
    <w:rsid w:val="005F59AB"/>
    <w:rsid w:val="005F7336"/>
    <w:rsid w:val="0060124D"/>
    <w:rsid w:val="006033D2"/>
    <w:rsid w:val="0060344B"/>
    <w:rsid w:val="006043A7"/>
    <w:rsid w:val="00607BA8"/>
    <w:rsid w:val="006110B5"/>
    <w:rsid w:val="006140C9"/>
    <w:rsid w:val="0062374A"/>
    <w:rsid w:val="006238B6"/>
    <w:rsid w:val="006257CC"/>
    <w:rsid w:val="00625924"/>
    <w:rsid w:val="00625CF0"/>
    <w:rsid w:val="00626064"/>
    <w:rsid w:val="0062718A"/>
    <w:rsid w:val="00635B2A"/>
    <w:rsid w:val="00635DA5"/>
    <w:rsid w:val="00636FCF"/>
    <w:rsid w:val="00637225"/>
    <w:rsid w:val="00641134"/>
    <w:rsid w:val="006413A6"/>
    <w:rsid w:val="00642CBA"/>
    <w:rsid w:val="00642E8E"/>
    <w:rsid w:val="00643F98"/>
    <w:rsid w:val="00644EE3"/>
    <w:rsid w:val="006500BE"/>
    <w:rsid w:val="00654EE1"/>
    <w:rsid w:val="00657573"/>
    <w:rsid w:val="00663EA1"/>
    <w:rsid w:val="00664658"/>
    <w:rsid w:val="0066639A"/>
    <w:rsid w:val="00670D01"/>
    <w:rsid w:val="006734AB"/>
    <w:rsid w:val="006739D4"/>
    <w:rsid w:val="00674CAA"/>
    <w:rsid w:val="0068085C"/>
    <w:rsid w:val="00681E2E"/>
    <w:rsid w:val="00681F5A"/>
    <w:rsid w:val="00682AC8"/>
    <w:rsid w:val="00684FEB"/>
    <w:rsid w:val="00686379"/>
    <w:rsid w:val="00686CC4"/>
    <w:rsid w:val="00687898"/>
    <w:rsid w:val="00691FA9"/>
    <w:rsid w:val="006927EA"/>
    <w:rsid w:val="0069292F"/>
    <w:rsid w:val="00693079"/>
    <w:rsid w:val="0069389C"/>
    <w:rsid w:val="006956B5"/>
    <w:rsid w:val="006A09A2"/>
    <w:rsid w:val="006A3468"/>
    <w:rsid w:val="006A6235"/>
    <w:rsid w:val="006A6C3E"/>
    <w:rsid w:val="006B0296"/>
    <w:rsid w:val="006B3A55"/>
    <w:rsid w:val="006B3C15"/>
    <w:rsid w:val="006B598A"/>
    <w:rsid w:val="006B73D9"/>
    <w:rsid w:val="006B76C4"/>
    <w:rsid w:val="006C1373"/>
    <w:rsid w:val="006C2118"/>
    <w:rsid w:val="006C52F5"/>
    <w:rsid w:val="006C597B"/>
    <w:rsid w:val="006C6EB7"/>
    <w:rsid w:val="006D1DDD"/>
    <w:rsid w:val="006D2D92"/>
    <w:rsid w:val="006D40F3"/>
    <w:rsid w:val="006E0D1A"/>
    <w:rsid w:val="006E179C"/>
    <w:rsid w:val="006E2AD4"/>
    <w:rsid w:val="006E4FB7"/>
    <w:rsid w:val="006F0567"/>
    <w:rsid w:val="006F2D9C"/>
    <w:rsid w:val="006F30DA"/>
    <w:rsid w:val="006F50A9"/>
    <w:rsid w:val="006F76DC"/>
    <w:rsid w:val="00700781"/>
    <w:rsid w:val="00702273"/>
    <w:rsid w:val="007042E0"/>
    <w:rsid w:val="00705022"/>
    <w:rsid w:val="00705410"/>
    <w:rsid w:val="00705722"/>
    <w:rsid w:val="00707461"/>
    <w:rsid w:val="00707C4F"/>
    <w:rsid w:val="007133A5"/>
    <w:rsid w:val="00713BBF"/>
    <w:rsid w:val="007158F3"/>
    <w:rsid w:val="00720EC8"/>
    <w:rsid w:val="007225EC"/>
    <w:rsid w:val="007227CC"/>
    <w:rsid w:val="007267B4"/>
    <w:rsid w:val="00727AB9"/>
    <w:rsid w:val="00731D0C"/>
    <w:rsid w:val="00732B61"/>
    <w:rsid w:val="0073567E"/>
    <w:rsid w:val="00741895"/>
    <w:rsid w:val="00743A2D"/>
    <w:rsid w:val="0074451B"/>
    <w:rsid w:val="0074483A"/>
    <w:rsid w:val="007478F4"/>
    <w:rsid w:val="007504CC"/>
    <w:rsid w:val="00752711"/>
    <w:rsid w:val="00754658"/>
    <w:rsid w:val="00754FCE"/>
    <w:rsid w:val="007559FD"/>
    <w:rsid w:val="007561EF"/>
    <w:rsid w:val="0075753B"/>
    <w:rsid w:val="00757D5A"/>
    <w:rsid w:val="007635CF"/>
    <w:rsid w:val="00771D4A"/>
    <w:rsid w:val="00776CBE"/>
    <w:rsid w:val="00777A36"/>
    <w:rsid w:val="007819AD"/>
    <w:rsid w:val="007821B0"/>
    <w:rsid w:val="00782FCD"/>
    <w:rsid w:val="00783399"/>
    <w:rsid w:val="00784EB3"/>
    <w:rsid w:val="007867AA"/>
    <w:rsid w:val="00786C32"/>
    <w:rsid w:val="007875A3"/>
    <w:rsid w:val="007915C3"/>
    <w:rsid w:val="00791ACF"/>
    <w:rsid w:val="00792719"/>
    <w:rsid w:val="0079694E"/>
    <w:rsid w:val="00796C3C"/>
    <w:rsid w:val="0079713F"/>
    <w:rsid w:val="007A0B52"/>
    <w:rsid w:val="007A0FD8"/>
    <w:rsid w:val="007A486D"/>
    <w:rsid w:val="007B06EA"/>
    <w:rsid w:val="007B417B"/>
    <w:rsid w:val="007B4AC0"/>
    <w:rsid w:val="007B5304"/>
    <w:rsid w:val="007B56B8"/>
    <w:rsid w:val="007B6528"/>
    <w:rsid w:val="007B77C9"/>
    <w:rsid w:val="007C5704"/>
    <w:rsid w:val="007C78A9"/>
    <w:rsid w:val="007C7930"/>
    <w:rsid w:val="007D3C2E"/>
    <w:rsid w:val="007E1EE9"/>
    <w:rsid w:val="007E4EE9"/>
    <w:rsid w:val="007E74BC"/>
    <w:rsid w:val="007F2DED"/>
    <w:rsid w:val="007F2F4B"/>
    <w:rsid w:val="007F6366"/>
    <w:rsid w:val="00800691"/>
    <w:rsid w:val="00801451"/>
    <w:rsid w:val="00803827"/>
    <w:rsid w:val="008043C6"/>
    <w:rsid w:val="00804414"/>
    <w:rsid w:val="00805928"/>
    <w:rsid w:val="00806B6E"/>
    <w:rsid w:val="008107BD"/>
    <w:rsid w:val="00810F7A"/>
    <w:rsid w:val="00811D42"/>
    <w:rsid w:val="00813F7E"/>
    <w:rsid w:val="008158D1"/>
    <w:rsid w:val="00816EA9"/>
    <w:rsid w:val="00824CB1"/>
    <w:rsid w:val="00827038"/>
    <w:rsid w:val="0082781C"/>
    <w:rsid w:val="0083540C"/>
    <w:rsid w:val="00837839"/>
    <w:rsid w:val="0084041A"/>
    <w:rsid w:val="008448DC"/>
    <w:rsid w:val="008475A8"/>
    <w:rsid w:val="00850E06"/>
    <w:rsid w:val="00851E9E"/>
    <w:rsid w:val="00861863"/>
    <w:rsid w:val="00862278"/>
    <w:rsid w:val="00862D82"/>
    <w:rsid w:val="0086454F"/>
    <w:rsid w:val="00865667"/>
    <w:rsid w:val="008673F9"/>
    <w:rsid w:val="00870E5E"/>
    <w:rsid w:val="00872B06"/>
    <w:rsid w:val="008756BF"/>
    <w:rsid w:val="0087632D"/>
    <w:rsid w:val="00876F60"/>
    <w:rsid w:val="00886689"/>
    <w:rsid w:val="00887DE2"/>
    <w:rsid w:val="00891FE9"/>
    <w:rsid w:val="00895780"/>
    <w:rsid w:val="008960DD"/>
    <w:rsid w:val="00897A6C"/>
    <w:rsid w:val="008A41DD"/>
    <w:rsid w:val="008A461D"/>
    <w:rsid w:val="008A4E9C"/>
    <w:rsid w:val="008A50CC"/>
    <w:rsid w:val="008B14CA"/>
    <w:rsid w:val="008B1DB4"/>
    <w:rsid w:val="008B33C1"/>
    <w:rsid w:val="008B415E"/>
    <w:rsid w:val="008C0141"/>
    <w:rsid w:val="008C0561"/>
    <w:rsid w:val="008C0AD6"/>
    <w:rsid w:val="008C1884"/>
    <w:rsid w:val="008C57F6"/>
    <w:rsid w:val="008C735B"/>
    <w:rsid w:val="008D12A7"/>
    <w:rsid w:val="008D32E3"/>
    <w:rsid w:val="008D3BE1"/>
    <w:rsid w:val="008D48B3"/>
    <w:rsid w:val="008D51BB"/>
    <w:rsid w:val="008E0186"/>
    <w:rsid w:val="008E09C7"/>
    <w:rsid w:val="008E33EB"/>
    <w:rsid w:val="008E5109"/>
    <w:rsid w:val="008E7AC9"/>
    <w:rsid w:val="008F0C47"/>
    <w:rsid w:val="008F11B7"/>
    <w:rsid w:val="00900CA5"/>
    <w:rsid w:val="009017D9"/>
    <w:rsid w:val="00903B5C"/>
    <w:rsid w:val="0090591E"/>
    <w:rsid w:val="009111E0"/>
    <w:rsid w:val="009111ED"/>
    <w:rsid w:val="0091273E"/>
    <w:rsid w:val="00912EEA"/>
    <w:rsid w:val="00917CAA"/>
    <w:rsid w:val="009203D8"/>
    <w:rsid w:val="00935DF9"/>
    <w:rsid w:val="009403BC"/>
    <w:rsid w:val="00941D75"/>
    <w:rsid w:val="00942D31"/>
    <w:rsid w:val="0094543C"/>
    <w:rsid w:val="0095101A"/>
    <w:rsid w:val="0095134E"/>
    <w:rsid w:val="0095289C"/>
    <w:rsid w:val="00953E90"/>
    <w:rsid w:val="00954DA0"/>
    <w:rsid w:val="00956AAF"/>
    <w:rsid w:val="009612D3"/>
    <w:rsid w:val="00962872"/>
    <w:rsid w:val="00963698"/>
    <w:rsid w:val="00965071"/>
    <w:rsid w:val="0096619E"/>
    <w:rsid w:val="0097246D"/>
    <w:rsid w:val="0097266A"/>
    <w:rsid w:val="0097342D"/>
    <w:rsid w:val="00974896"/>
    <w:rsid w:val="0097573E"/>
    <w:rsid w:val="0097690B"/>
    <w:rsid w:val="00976C51"/>
    <w:rsid w:val="009779EC"/>
    <w:rsid w:val="009820E8"/>
    <w:rsid w:val="00982E35"/>
    <w:rsid w:val="009830D4"/>
    <w:rsid w:val="009842B6"/>
    <w:rsid w:val="00984E45"/>
    <w:rsid w:val="00986263"/>
    <w:rsid w:val="009869A5"/>
    <w:rsid w:val="00987453"/>
    <w:rsid w:val="009915A3"/>
    <w:rsid w:val="009924B3"/>
    <w:rsid w:val="009949FC"/>
    <w:rsid w:val="009A02E0"/>
    <w:rsid w:val="009A0BEB"/>
    <w:rsid w:val="009A15B8"/>
    <w:rsid w:val="009A3407"/>
    <w:rsid w:val="009A4088"/>
    <w:rsid w:val="009A7C2F"/>
    <w:rsid w:val="009B2DE9"/>
    <w:rsid w:val="009B357D"/>
    <w:rsid w:val="009B56CF"/>
    <w:rsid w:val="009B57D6"/>
    <w:rsid w:val="009B59D7"/>
    <w:rsid w:val="009B6DF1"/>
    <w:rsid w:val="009C1B44"/>
    <w:rsid w:val="009C20CC"/>
    <w:rsid w:val="009C2848"/>
    <w:rsid w:val="009C36CF"/>
    <w:rsid w:val="009C6653"/>
    <w:rsid w:val="009C704C"/>
    <w:rsid w:val="009C791E"/>
    <w:rsid w:val="009D0C73"/>
    <w:rsid w:val="009D1D9A"/>
    <w:rsid w:val="009D4013"/>
    <w:rsid w:val="009D7FD4"/>
    <w:rsid w:val="009E0600"/>
    <w:rsid w:val="009E2067"/>
    <w:rsid w:val="009E22BA"/>
    <w:rsid w:val="009E41B2"/>
    <w:rsid w:val="009E4B13"/>
    <w:rsid w:val="009E51C5"/>
    <w:rsid w:val="009E5A29"/>
    <w:rsid w:val="009E5D0A"/>
    <w:rsid w:val="009E62AF"/>
    <w:rsid w:val="009F1B42"/>
    <w:rsid w:val="009F2A2F"/>
    <w:rsid w:val="009F2C0A"/>
    <w:rsid w:val="00A00AED"/>
    <w:rsid w:val="00A01D28"/>
    <w:rsid w:val="00A02499"/>
    <w:rsid w:val="00A02F5A"/>
    <w:rsid w:val="00A05230"/>
    <w:rsid w:val="00A05C22"/>
    <w:rsid w:val="00A0635C"/>
    <w:rsid w:val="00A0676B"/>
    <w:rsid w:val="00A06A9D"/>
    <w:rsid w:val="00A16E91"/>
    <w:rsid w:val="00A17C56"/>
    <w:rsid w:val="00A20B49"/>
    <w:rsid w:val="00A21B9B"/>
    <w:rsid w:val="00A22C85"/>
    <w:rsid w:val="00A258F0"/>
    <w:rsid w:val="00A25DD0"/>
    <w:rsid w:val="00A268DE"/>
    <w:rsid w:val="00A27CFD"/>
    <w:rsid w:val="00A30ADA"/>
    <w:rsid w:val="00A30CDD"/>
    <w:rsid w:val="00A32C56"/>
    <w:rsid w:val="00A3567B"/>
    <w:rsid w:val="00A358B8"/>
    <w:rsid w:val="00A365AB"/>
    <w:rsid w:val="00A379F9"/>
    <w:rsid w:val="00A45987"/>
    <w:rsid w:val="00A4603B"/>
    <w:rsid w:val="00A476BA"/>
    <w:rsid w:val="00A50E03"/>
    <w:rsid w:val="00A563E0"/>
    <w:rsid w:val="00A56892"/>
    <w:rsid w:val="00A56E5B"/>
    <w:rsid w:val="00A64486"/>
    <w:rsid w:val="00A655FE"/>
    <w:rsid w:val="00A73999"/>
    <w:rsid w:val="00A740EF"/>
    <w:rsid w:val="00A76671"/>
    <w:rsid w:val="00A83784"/>
    <w:rsid w:val="00A85849"/>
    <w:rsid w:val="00A90F90"/>
    <w:rsid w:val="00A91427"/>
    <w:rsid w:val="00A93EED"/>
    <w:rsid w:val="00A9547A"/>
    <w:rsid w:val="00A96731"/>
    <w:rsid w:val="00A96C59"/>
    <w:rsid w:val="00AA0323"/>
    <w:rsid w:val="00AA1711"/>
    <w:rsid w:val="00AA53AA"/>
    <w:rsid w:val="00AA6123"/>
    <w:rsid w:val="00AA6203"/>
    <w:rsid w:val="00AA6662"/>
    <w:rsid w:val="00AA73ED"/>
    <w:rsid w:val="00AB3E52"/>
    <w:rsid w:val="00AB4C78"/>
    <w:rsid w:val="00AC37A6"/>
    <w:rsid w:val="00AC603A"/>
    <w:rsid w:val="00AC6A97"/>
    <w:rsid w:val="00AC700F"/>
    <w:rsid w:val="00AD0659"/>
    <w:rsid w:val="00AD0944"/>
    <w:rsid w:val="00AD10A2"/>
    <w:rsid w:val="00AD2356"/>
    <w:rsid w:val="00AD2E28"/>
    <w:rsid w:val="00AD3290"/>
    <w:rsid w:val="00AF087C"/>
    <w:rsid w:val="00AF089D"/>
    <w:rsid w:val="00AF1A17"/>
    <w:rsid w:val="00AF299E"/>
    <w:rsid w:val="00AF5A5F"/>
    <w:rsid w:val="00AF6DFE"/>
    <w:rsid w:val="00AF74B0"/>
    <w:rsid w:val="00B01605"/>
    <w:rsid w:val="00B0179C"/>
    <w:rsid w:val="00B02785"/>
    <w:rsid w:val="00B06091"/>
    <w:rsid w:val="00B104C0"/>
    <w:rsid w:val="00B12FC3"/>
    <w:rsid w:val="00B13096"/>
    <w:rsid w:val="00B158CE"/>
    <w:rsid w:val="00B15C58"/>
    <w:rsid w:val="00B15CD8"/>
    <w:rsid w:val="00B17329"/>
    <w:rsid w:val="00B22392"/>
    <w:rsid w:val="00B237A3"/>
    <w:rsid w:val="00B25481"/>
    <w:rsid w:val="00B2749F"/>
    <w:rsid w:val="00B277A6"/>
    <w:rsid w:val="00B33209"/>
    <w:rsid w:val="00B33383"/>
    <w:rsid w:val="00B372F2"/>
    <w:rsid w:val="00B41A56"/>
    <w:rsid w:val="00B42A45"/>
    <w:rsid w:val="00B440A5"/>
    <w:rsid w:val="00B46ACF"/>
    <w:rsid w:val="00B51A86"/>
    <w:rsid w:val="00B51E9A"/>
    <w:rsid w:val="00B525E1"/>
    <w:rsid w:val="00B53EEA"/>
    <w:rsid w:val="00B55821"/>
    <w:rsid w:val="00B608F6"/>
    <w:rsid w:val="00B60ED3"/>
    <w:rsid w:val="00B63617"/>
    <w:rsid w:val="00B64DB5"/>
    <w:rsid w:val="00B65D78"/>
    <w:rsid w:val="00B70ED9"/>
    <w:rsid w:val="00B72B03"/>
    <w:rsid w:val="00B75AA4"/>
    <w:rsid w:val="00B81017"/>
    <w:rsid w:val="00B8533C"/>
    <w:rsid w:val="00B866F8"/>
    <w:rsid w:val="00B877CD"/>
    <w:rsid w:val="00B87ECF"/>
    <w:rsid w:val="00B90512"/>
    <w:rsid w:val="00B93A70"/>
    <w:rsid w:val="00BA721F"/>
    <w:rsid w:val="00BA74CE"/>
    <w:rsid w:val="00BA7C40"/>
    <w:rsid w:val="00BB0BD8"/>
    <w:rsid w:val="00BB4832"/>
    <w:rsid w:val="00BB59DD"/>
    <w:rsid w:val="00BC2F2E"/>
    <w:rsid w:val="00BC58E3"/>
    <w:rsid w:val="00BC5A6B"/>
    <w:rsid w:val="00BD0275"/>
    <w:rsid w:val="00BD6AA8"/>
    <w:rsid w:val="00BE2F77"/>
    <w:rsid w:val="00BE3410"/>
    <w:rsid w:val="00BE343E"/>
    <w:rsid w:val="00BE3C10"/>
    <w:rsid w:val="00BE47A3"/>
    <w:rsid w:val="00BF2154"/>
    <w:rsid w:val="00BF3D17"/>
    <w:rsid w:val="00BF629C"/>
    <w:rsid w:val="00C00657"/>
    <w:rsid w:val="00C01AB8"/>
    <w:rsid w:val="00C03B17"/>
    <w:rsid w:val="00C03C2A"/>
    <w:rsid w:val="00C05615"/>
    <w:rsid w:val="00C05D91"/>
    <w:rsid w:val="00C06FF7"/>
    <w:rsid w:val="00C1181D"/>
    <w:rsid w:val="00C13280"/>
    <w:rsid w:val="00C13D89"/>
    <w:rsid w:val="00C13E32"/>
    <w:rsid w:val="00C14D3F"/>
    <w:rsid w:val="00C14FDD"/>
    <w:rsid w:val="00C17AE7"/>
    <w:rsid w:val="00C27657"/>
    <w:rsid w:val="00C30183"/>
    <w:rsid w:val="00C31243"/>
    <w:rsid w:val="00C3300C"/>
    <w:rsid w:val="00C33029"/>
    <w:rsid w:val="00C338EA"/>
    <w:rsid w:val="00C33B85"/>
    <w:rsid w:val="00C35C45"/>
    <w:rsid w:val="00C36814"/>
    <w:rsid w:val="00C37795"/>
    <w:rsid w:val="00C40539"/>
    <w:rsid w:val="00C4214E"/>
    <w:rsid w:val="00C4283D"/>
    <w:rsid w:val="00C50284"/>
    <w:rsid w:val="00C525BF"/>
    <w:rsid w:val="00C550F8"/>
    <w:rsid w:val="00C560C2"/>
    <w:rsid w:val="00C57ABB"/>
    <w:rsid w:val="00C57B3C"/>
    <w:rsid w:val="00C60E30"/>
    <w:rsid w:val="00C62140"/>
    <w:rsid w:val="00C63682"/>
    <w:rsid w:val="00C64864"/>
    <w:rsid w:val="00C67EB8"/>
    <w:rsid w:val="00C70622"/>
    <w:rsid w:val="00C70ECB"/>
    <w:rsid w:val="00C718E8"/>
    <w:rsid w:val="00C726F9"/>
    <w:rsid w:val="00C738CA"/>
    <w:rsid w:val="00C766F3"/>
    <w:rsid w:val="00C806C1"/>
    <w:rsid w:val="00C84EAD"/>
    <w:rsid w:val="00C878E4"/>
    <w:rsid w:val="00C91323"/>
    <w:rsid w:val="00CA006F"/>
    <w:rsid w:val="00CA11AC"/>
    <w:rsid w:val="00CA408B"/>
    <w:rsid w:val="00CA66DB"/>
    <w:rsid w:val="00CA7BDA"/>
    <w:rsid w:val="00CB5812"/>
    <w:rsid w:val="00CB5DE3"/>
    <w:rsid w:val="00CB7350"/>
    <w:rsid w:val="00CC1BA9"/>
    <w:rsid w:val="00CC2E77"/>
    <w:rsid w:val="00CC38B9"/>
    <w:rsid w:val="00CC4F7C"/>
    <w:rsid w:val="00CD01C2"/>
    <w:rsid w:val="00CD1574"/>
    <w:rsid w:val="00CD4AF4"/>
    <w:rsid w:val="00CD6B55"/>
    <w:rsid w:val="00CD7D5D"/>
    <w:rsid w:val="00CE5822"/>
    <w:rsid w:val="00CE692D"/>
    <w:rsid w:val="00CE7920"/>
    <w:rsid w:val="00CF160B"/>
    <w:rsid w:val="00CF24E9"/>
    <w:rsid w:val="00CF7DB9"/>
    <w:rsid w:val="00D00F17"/>
    <w:rsid w:val="00D04118"/>
    <w:rsid w:val="00D049C9"/>
    <w:rsid w:val="00D0589C"/>
    <w:rsid w:val="00D05C8D"/>
    <w:rsid w:val="00D06D3D"/>
    <w:rsid w:val="00D116D6"/>
    <w:rsid w:val="00D1352E"/>
    <w:rsid w:val="00D14EE3"/>
    <w:rsid w:val="00D16FDD"/>
    <w:rsid w:val="00D20A9B"/>
    <w:rsid w:val="00D2277C"/>
    <w:rsid w:val="00D23145"/>
    <w:rsid w:val="00D23E26"/>
    <w:rsid w:val="00D251C2"/>
    <w:rsid w:val="00D25474"/>
    <w:rsid w:val="00D312CB"/>
    <w:rsid w:val="00D316DA"/>
    <w:rsid w:val="00D31C2A"/>
    <w:rsid w:val="00D322AB"/>
    <w:rsid w:val="00D32F51"/>
    <w:rsid w:val="00D33D78"/>
    <w:rsid w:val="00D35813"/>
    <w:rsid w:val="00D3679E"/>
    <w:rsid w:val="00D37062"/>
    <w:rsid w:val="00D403BF"/>
    <w:rsid w:val="00D40784"/>
    <w:rsid w:val="00D524B7"/>
    <w:rsid w:val="00D54CB4"/>
    <w:rsid w:val="00D5567F"/>
    <w:rsid w:val="00D577BA"/>
    <w:rsid w:val="00D64B06"/>
    <w:rsid w:val="00D72695"/>
    <w:rsid w:val="00D752CA"/>
    <w:rsid w:val="00D758AE"/>
    <w:rsid w:val="00D85CA5"/>
    <w:rsid w:val="00D87869"/>
    <w:rsid w:val="00D92367"/>
    <w:rsid w:val="00D9283C"/>
    <w:rsid w:val="00D9320A"/>
    <w:rsid w:val="00D94C4D"/>
    <w:rsid w:val="00D95B09"/>
    <w:rsid w:val="00D9651F"/>
    <w:rsid w:val="00D9711D"/>
    <w:rsid w:val="00DA335E"/>
    <w:rsid w:val="00DA49FE"/>
    <w:rsid w:val="00DA554F"/>
    <w:rsid w:val="00DA6B2E"/>
    <w:rsid w:val="00DA6D9B"/>
    <w:rsid w:val="00DA7947"/>
    <w:rsid w:val="00DB406A"/>
    <w:rsid w:val="00DB6243"/>
    <w:rsid w:val="00DB7159"/>
    <w:rsid w:val="00DB7AA0"/>
    <w:rsid w:val="00DB7AF5"/>
    <w:rsid w:val="00DC0003"/>
    <w:rsid w:val="00DC3789"/>
    <w:rsid w:val="00DC58D1"/>
    <w:rsid w:val="00DC79E1"/>
    <w:rsid w:val="00DD46CE"/>
    <w:rsid w:val="00DD51CA"/>
    <w:rsid w:val="00DD5D3C"/>
    <w:rsid w:val="00DD6B55"/>
    <w:rsid w:val="00DE0567"/>
    <w:rsid w:val="00DE1816"/>
    <w:rsid w:val="00DE24B7"/>
    <w:rsid w:val="00DE3AC8"/>
    <w:rsid w:val="00DE4C84"/>
    <w:rsid w:val="00DE4E5A"/>
    <w:rsid w:val="00DE6616"/>
    <w:rsid w:val="00DF04DD"/>
    <w:rsid w:val="00DF439E"/>
    <w:rsid w:val="00DF5141"/>
    <w:rsid w:val="00E1228A"/>
    <w:rsid w:val="00E143E2"/>
    <w:rsid w:val="00E15510"/>
    <w:rsid w:val="00E17AE1"/>
    <w:rsid w:val="00E232D7"/>
    <w:rsid w:val="00E257BA"/>
    <w:rsid w:val="00E30058"/>
    <w:rsid w:val="00E306F6"/>
    <w:rsid w:val="00E31F75"/>
    <w:rsid w:val="00E34307"/>
    <w:rsid w:val="00E36C6E"/>
    <w:rsid w:val="00E43441"/>
    <w:rsid w:val="00E44770"/>
    <w:rsid w:val="00E47EC0"/>
    <w:rsid w:val="00E52C62"/>
    <w:rsid w:val="00E54360"/>
    <w:rsid w:val="00E5442E"/>
    <w:rsid w:val="00E54843"/>
    <w:rsid w:val="00E55175"/>
    <w:rsid w:val="00E55E8D"/>
    <w:rsid w:val="00E610D8"/>
    <w:rsid w:val="00E61C7F"/>
    <w:rsid w:val="00E73662"/>
    <w:rsid w:val="00E7376C"/>
    <w:rsid w:val="00E738A4"/>
    <w:rsid w:val="00E752E8"/>
    <w:rsid w:val="00E75CE8"/>
    <w:rsid w:val="00E7625A"/>
    <w:rsid w:val="00E77123"/>
    <w:rsid w:val="00E823A4"/>
    <w:rsid w:val="00E82BB3"/>
    <w:rsid w:val="00E844B1"/>
    <w:rsid w:val="00E86B83"/>
    <w:rsid w:val="00E87A3D"/>
    <w:rsid w:val="00E87AF9"/>
    <w:rsid w:val="00E94101"/>
    <w:rsid w:val="00E961D0"/>
    <w:rsid w:val="00EA225D"/>
    <w:rsid w:val="00EA3876"/>
    <w:rsid w:val="00EA4404"/>
    <w:rsid w:val="00EA5149"/>
    <w:rsid w:val="00EA58DD"/>
    <w:rsid w:val="00EA67DA"/>
    <w:rsid w:val="00EA70E6"/>
    <w:rsid w:val="00EA75D9"/>
    <w:rsid w:val="00EB0F8F"/>
    <w:rsid w:val="00EB354D"/>
    <w:rsid w:val="00EB47D7"/>
    <w:rsid w:val="00EB6DFC"/>
    <w:rsid w:val="00EB7A9C"/>
    <w:rsid w:val="00EC1D5A"/>
    <w:rsid w:val="00EC220D"/>
    <w:rsid w:val="00EC2A1B"/>
    <w:rsid w:val="00EC71EF"/>
    <w:rsid w:val="00EC7D35"/>
    <w:rsid w:val="00ED0318"/>
    <w:rsid w:val="00ED0BC7"/>
    <w:rsid w:val="00ED3471"/>
    <w:rsid w:val="00ED4F4B"/>
    <w:rsid w:val="00ED5083"/>
    <w:rsid w:val="00EE0404"/>
    <w:rsid w:val="00EE041F"/>
    <w:rsid w:val="00EF4320"/>
    <w:rsid w:val="00EF43E5"/>
    <w:rsid w:val="00EF477F"/>
    <w:rsid w:val="00EF4918"/>
    <w:rsid w:val="00EF6C0A"/>
    <w:rsid w:val="00EF6E14"/>
    <w:rsid w:val="00EF7FD6"/>
    <w:rsid w:val="00F007AB"/>
    <w:rsid w:val="00F02CE0"/>
    <w:rsid w:val="00F0525D"/>
    <w:rsid w:val="00F06700"/>
    <w:rsid w:val="00F06D7D"/>
    <w:rsid w:val="00F15994"/>
    <w:rsid w:val="00F15BAF"/>
    <w:rsid w:val="00F15C86"/>
    <w:rsid w:val="00F16AB9"/>
    <w:rsid w:val="00F22872"/>
    <w:rsid w:val="00F23B24"/>
    <w:rsid w:val="00F275D8"/>
    <w:rsid w:val="00F27B37"/>
    <w:rsid w:val="00F27CCC"/>
    <w:rsid w:val="00F32597"/>
    <w:rsid w:val="00F33A08"/>
    <w:rsid w:val="00F34618"/>
    <w:rsid w:val="00F374E5"/>
    <w:rsid w:val="00F37C83"/>
    <w:rsid w:val="00F43629"/>
    <w:rsid w:val="00F43D57"/>
    <w:rsid w:val="00F43FC8"/>
    <w:rsid w:val="00F45BC8"/>
    <w:rsid w:val="00F46E2E"/>
    <w:rsid w:val="00F470E9"/>
    <w:rsid w:val="00F527A0"/>
    <w:rsid w:val="00F52F15"/>
    <w:rsid w:val="00F555C1"/>
    <w:rsid w:val="00F602C4"/>
    <w:rsid w:val="00F61CFC"/>
    <w:rsid w:val="00F61F32"/>
    <w:rsid w:val="00F63ADF"/>
    <w:rsid w:val="00F65E03"/>
    <w:rsid w:val="00F66E97"/>
    <w:rsid w:val="00F703DF"/>
    <w:rsid w:val="00F70FA7"/>
    <w:rsid w:val="00F82988"/>
    <w:rsid w:val="00F833F2"/>
    <w:rsid w:val="00F85FEA"/>
    <w:rsid w:val="00F87CA1"/>
    <w:rsid w:val="00F91306"/>
    <w:rsid w:val="00F91E96"/>
    <w:rsid w:val="00F93EC4"/>
    <w:rsid w:val="00F94735"/>
    <w:rsid w:val="00F94944"/>
    <w:rsid w:val="00F94CA4"/>
    <w:rsid w:val="00F960C4"/>
    <w:rsid w:val="00F96E4A"/>
    <w:rsid w:val="00FA11B1"/>
    <w:rsid w:val="00FA30EC"/>
    <w:rsid w:val="00FA4B33"/>
    <w:rsid w:val="00FA6F18"/>
    <w:rsid w:val="00FB0E19"/>
    <w:rsid w:val="00FB16FB"/>
    <w:rsid w:val="00FB2573"/>
    <w:rsid w:val="00FB37AA"/>
    <w:rsid w:val="00FB7F89"/>
    <w:rsid w:val="00FC2C6C"/>
    <w:rsid w:val="00FC3AAD"/>
    <w:rsid w:val="00FC4CA4"/>
    <w:rsid w:val="00FD3CBE"/>
    <w:rsid w:val="00FD7D27"/>
    <w:rsid w:val="00FE424F"/>
    <w:rsid w:val="00FE4E27"/>
    <w:rsid w:val="00FE5E40"/>
    <w:rsid w:val="00FE6BEA"/>
    <w:rsid w:val="00FF08BF"/>
    <w:rsid w:val="00FF1198"/>
    <w:rsid w:val="00FF4174"/>
    <w:rsid w:val="00FF7B6A"/>
    <w:rsid w:val="03460CD9"/>
    <w:rsid w:val="041121EF"/>
    <w:rsid w:val="06E75409"/>
    <w:rsid w:val="073B51B7"/>
    <w:rsid w:val="0797103D"/>
    <w:rsid w:val="099F025A"/>
    <w:rsid w:val="0B3704B4"/>
    <w:rsid w:val="0C7327EB"/>
    <w:rsid w:val="0C8063E7"/>
    <w:rsid w:val="0C9F7A36"/>
    <w:rsid w:val="0CAC517A"/>
    <w:rsid w:val="0CE972B8"/>
    <w:rsid w:val="0DB03D55"/>
    <w:rsid w:val="0EB86E27"/>
    <w:rsid w:val="10F93F06"/>
    <w:rsid w:val="11A0756D"/>
    <w:rsid w:val="11C11554"/>
    <w:rsid w:val="12DC05B5"/>
    <w:rsid w:val="1450231E"/>
    <w:rsid w:val="15B80698"/>
    <w:rsid w:val="172F2F59"/>
    <w:rsid w:val="17534CEC"/>
    <w:rsid w:val="175A4F5C"/>
    <w:rsid w:val="179D1EDB"/>
    <w:rsid w:val="1A9637AF"/>
    <w:rsid w:val="1B8D11A0"/>
    <w:rsid w:val="1BDE13C1"/>
    <w:rsid w:val="1CE47554"/>
    <w:rsid w:val="1CF90154"/>
    <w:rsid w:val="1F31749C"/>
    <w:rsid w:val="208D2895"/>
    <w:rsid w:val="220B6B38"/>
    <w:rsid w:val="25C82A4C"/>
    <w:rsid w:val="26153389"/>
    <w:rsid w:val="261C0F13"/>
    <w:rsid w:val="27DD2B84"/>
    <w:rsid w:val="29C23C24"/>
    <w:rsid w:val="2C9456EE"/>
    <w:rsid w:val="2D00084B"/>
    <w:rsid w:val="2DA26642"/>
    <w:rsid w:val="2F172B1B"/>
    <w:rsid w:val="2F817BE3"/>
    <w:rsid w:val="325E2F6A"/>
    <w:rsid w:val="33375694"/>
    <w:rsid w:val="339802E0"/>
    <w:rsid w:val="342A6B27"/>
    <w:rsid w:val="355F3466"/>
    <w:rsid w:val="36232246"/>
    <w:rsid w:val="37FF69FD"/>
    <w:rsid w:val="384D221C"/>
    <w:rsid w:val="388131BD"/>
    <w:rsid w:val="394D4F22"/>
    <w:rsid w:val="3A541FF7"/>
    <w:rsid w:val="3AE85EBF"/>
    <w:rsid w:val="3B231DB6"/>
    <w:rsid w:val="3C6B5B77"/>
    <w:rsid w:val="3C7F2891"/>
    <w:rsid w:val="3DD07A46"/>
    <w:rsid w:val="404C56FF"/>
    <w:rsid w:val="407F3BC0"/>
    <w:rsid w:val="41C77FE8"/>
    <w:rsid w:val="41F14FD0"/>
    <w:rsid w:val="44122E34"/>
    <w:rsid w:val="45EC4713"/>
    <w:rsid w:val="45F762BD"/>
    <w:rsid w:val="4859110F"/>
    <w:rsid w:val="4AB560CE"/>
    <w:rsid w:val="4D8C0D6D"/>
    <w:rsid w:val="4DED3CD5"/>
    <w:rsid w:val="4E080B51"/>
    <w:rsid w:val="4EB71565"/>
    <w:rsid w:val="4F7C6051"/>
    <w:rsid w:val="50CB1798"/>
    <w:rsid w:val="511451BF"/>
    <w:rsid w:val="513D70DA"/>
    <w:rsid w:val="51D71EED"/>
    <w:rsid w:val="52634A96"/>
    <w:rsid w:val="538E2D0B"/>
    <w:rsid w:val="598072CA"/>
    <w:rsid w:val="5BEA5FE6"/>
    <w:rsid w:val="5C597408"/>
    <w:rsid w:val="5CB069F1"/>
    <w:rsid w:val="5D8B6D68"/>
    <w:rsid w:val="5E465936"/>
    <w:rsid w:val="5EBC12FA"/>
    <w:rsid w:val="5F961379"/>
    <w:rsid w:val="5F9D7B88"/>
    <w:rsid w:val="5FCF4E6E"/>
    <w:rsid w:val="603A41BB"/>
    <w:rsid w:val="612F3F66"/>
    <w:rsid w:val="63747FE6"/>
    <w:rsid w:val="66DE0B02"/>
    <w:rsid w:val="679F325F"/>
    <w:rsid w:val="6835642B"/>
    <w:rsid w:val="6A475D4D"/>
    <w:rsid w:val="6AEF312F"/>
    <w:rsid w:val="6BB67446"/>
    <w:rsid w:val="6D442BA7"/>
    <w:rsid w:val="6ED274D6"/>
    <w:rsid w:val="6EE72672"/>
    <w:rsid w:val="715603A1"/>
    <w:rsid w:val="719A4CC7"/>
    <w:rsid w:val="72AE00E5"/>
    <w:rsid w:val="72E8428C"/>
    <w:rsid w:val="74180B9A"/>
    <w:rsid w:val="75BD6C28"/>
    <w:rsid w:val="75E8386D"/>
    <w:rsid w:val="767A4544"/>
    <w:rsid w:val="77B0779C"/>
    <w:rsid w:val="780E5898"/>
    <w:rsid w:val="787248B0"/>
    <w:rsid w:val="79B32B63"/>
    <w:rsid w:val="7A0D7DD8"/>
    <w:rsid w:val="7AA52375"/>
    <w:rsid w:val="7C60038E"/>
    <w:rsid w:val="7F6762BE"/>
    <w:rsid w:val="7FF70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宋体" w:cs="Times New Roman"/>
      <w:sz w:val="24"/>
      <w:szCs w:val="24"/>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Date"/>
    <w:basedOn w:val="1"/>
    <w:next w:val="1"/>
    <w:link w:val="23"/>
    <w:qFormat/>
    <w:uiPriority w:val="0"/>
    <w:pPr>
      <w:ind w:left="100" w:leftChars="2500"/>
    </w:pPr>
  </w:style>
  <w:style w:type="paragraph" w:styleId="6">
    <w:name w:val="Balloon Text"/>
    <w:basedOn w:val="1"/>
    <w:link w:val="26"/>
    <w:qFormat/>
    <w:uiPriority w:val="0"/>
    <w:rPr>
      <w:sz w:val="18"/>
      <w:szCs w:val="18"/>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qFormat/>
    <w:uiPriority w:val="99"/>
  </w:style>
  <w:style w:type="table" w:styleId="11">
    <w:name w:val="Table Grid"/>
    <w:basedOn w:val="10"/>
    <w:qFormat/>
    <w:uiPriority w:val="0"/>
    <w:rPr>
      <w:rFonts w:hint="eastAsia" w:ascii="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3">
    <w:name w:val="Strong"/>
    <w:basedOn w:val="12"/>
    <w:qFormat/>
    <w:uiPriority w:val="22"/>
    <w:rPr>
      <w:b/>
      <w:bCs/>
    </w:rPr>
  </w:style>
  <w:style w:type="character" w:styleId="14">
    <w:name w:val="Hyperlink"/>
    <w:basedOn w:val="12"/>
    <w:unhideWhenUsed/>
    <w:qFormat/>
    <w:uiPriority w:val="0"/>
    <w:rPr>
      <w:color w:val="0563C1" w:themeColor="hyperlink"/>
      <w:u w:val="single"/>
    </w:rPr>
  </w:style>
  <w:style w:type="character" w:styleId="15">
    <w:name w:val="footnote reference"/>
    <w:semiHidden/>
    <w:qFormat/>
    <w:uiPriority w:val="0"/>
    <w:rPr>
      <w:vertAlign w:val="superscript"/>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二级无"/>
    <w:basedOn w:val="18"/>
    <w:qFormat/>
    <w:uiPriority w:val="0"/>
    <w:pPr>
      <w:spacing w:beforeLines="0" w:afterLines="0"/>
    </w:pPr>
    <w:rPr>
      <w:rFonts w:ascii="宋体" w:eastAsia="宋体"/>
    </w:rPr>
  </w:style>
  <w:style w:type="paragraph" w:customStyle="1" w:styleId="18">
    <w:name w:val="二级条标题"/>
    <w:basedOn w:val="19"/>
    <w:next w:val="16"/>
    <w:qFormat/>
    <w:uiPriority w:val="0"/>
    <w:pPr>
      <w:numPr>
        <w:ilvl w:val="2"/>
      </w:numPr>
      <w:spacing w:before="50" w:after="50"/>
      <w:outlineLvl w:val="3"/>
    </w:pPr>
  </w:style>
  <w:style w:type="paragraph" w:customStyle="1" w:styleId="19">
    <w:name w:val="一级条标题"/>
    <w:next w:val="1"/>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0">
    <w:name w:val="一级无"/>
    <w:basedOn w:val="19"/>
    <w:qFormat/>
    <w:uiPriority w:val="0"/>
    <w:pPr>
      <w:spacing w:beforeLines="0" w:afterLines="0"/>
    </w:pPr>
    <w:rPr>
      <w:rFonts w:ascii="宋体" w:eastAsia="宋体"/>
    </w:rPr>
  </w:style>
  <w:style w:type="character" w:customStyle="1" w:styleId="21">
    <w:name w:val="段 Char"/>
    <w:basedOn w:val="12"/>
    <w:qFormat/>
    <w:uiPriority w:val="0"/>
    <w:rPr>
      <w:rFonts w:hint="eastAsia" w:ascii="宋体" w:hAnsi="宋体" w:eastAsia="宋体" w:cs="宋体"/>
      <w:sz w:val="21"/>
    </w:rPr>
  </w:style>
  <w:style w:type="paragraph" w:customStyle="1" w:styleId="22">
    <w:name w:val="字母编号列项（一级）"/>
    <w:basedOn w:val="1"/>
    <w:qFormat/>
    <w:uiPriority w:val="0"/>
    <w:pPr>
      <w:widowControl/>
      <w:numPr>
        <w:ilvl w:val="0"/>
        <w:numId w:val="2"/>
      </w:numPr>
      <w:jc w:val="both"/>
    </w:pPr>
    <w:rPr>
      <w:rFonts w:hint="eastAsia" w:ascii="宋体"/>
      <w:sz w:val="21"/>
      <w:szCs w:val="20"/>
      <w:lang w:eastAsia="zh-CN"/>
    </w:rPr>
  </w:style>
  <w:style w:type="character" w:customStyle="1" w:styleId="23">
    <w:name w:val="日期 字符"/>
    <w:basedOn w:val="12"/>
    <w:link w:val="5"/>
    <w:qFormat/>
    <w:uiPriority w:val="0"/>
    <w:rPr>
      <w:sz w:val="24"/>
      <w:szCs w:val="24"/>
      <w:lang w:eastAsia="en-US"/>
    </w:rPr>
  </w:style>
  <w:style w:type="paragraph" w:customStyle="1" w:styleId="24">
    <w:name w:val="注："/>
    <w:next w:val="16"/>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5">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character" w:customStyle="1" w:styleId="26">
    <w:name w:val="批注框文本 字符"/>
    <w:basedOn w:val="12"/>
    <w:link w:val="6"/>
    <w:qFormat/>
    <w:uiPriority w:val="0"/>
    <w:rPr>
      <w:sz w:val="18"/>
      <w:szCs w:val="18"/>
      <w:lang w:eastAsia="en-US"/>
    </w:rPr>
  </w:style>
  <w:style w:type="paragraph" w:customStyle="1" w:styleId="27">
    <w:name w:val="章标题"/>
    <w:next w:val="16"/>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8">
    <w:name w:val="三级条标题"/>
    <w:basedOn w:val="18"/>
    <w:next w:val="16"/>
    <w:qFormat/>
    <w:uiPriority w:val="0"/>
    <w:pPr>
      <w:numPr>
        <w:ilvl w:val="0"/>
        <w:numId w:val="0"/>
      </w:numPr>
      <w:outlineLvl w:val="4"/>
    </w:pPr>
  </w:style>
  <w:style w:type="paragraph" w:customStyle="1" w:styleId="29">
    <w:name w:val="四级条标题"/>
    <w:basedOn w:val="28"/>
    <w:next w:val="16"/>
    <w:qFormat/>
    <w:uiPriority w:val="0"/>
    <w:pPr>
      <w:outlineLvl w:val="5"/>
    </w:pPr>
  </w:style>
  <w:style w:type="paragraph" w:customStyle="1" w:styleId="30">
    <w:name w:val="五级条标题"/>
    <w:basedOn w:val="29"/>
    <w:next w:val="16"/>
    <w:qFormat/>
    <w:uiPriority w:val="0"/>
    <w:pPr>
      <w:outlineLvl w:val="6"/>
    </w:pPr>
  </w:style>
  <w:style w:type="paragraph" w:styleId="31">
    <w:name w:val="List Paragraph"/>
    <w:basedOn w:val="1"/>
    <w:unhideWhenUsed/>
    <w:qFormat/>
    <w:uiPriority w:val="34"/>
    <w:pPr>
      <w:ind w:firstLine="420" w:firstLineChars="200"/>
    </w:pPr>
  </w:style>
  <w:style w:type="paragraph" w:customStyle="1" w:styleId="32">
    <w:name w:val="正文表标题"/>
    <w:next w:val="16"/>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paragraph" w:customStyle="1" w:styleId="33">
    <w:name w:val="正文图标题"/>
    <w:next w:val="16"/>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4">
    <w:name w:val="其他发布日期"/>
    <w:basedOn w:val="1"/>
    <w:qFormat/>
    <w:uiPriority w:val="0"/>
    <w:pPr>
      <w:framePr w:w="3997" w:h="471" w:hRule="exact" w:vSpace="181" w:wrap="around" w:vAnchor="page" w:hAnchor="page" w:x="1419" w:y="14097" w:anchorLock="1"/>
      <w:widowControl/>
      <w:numPr>
        <w:ilvl w:val="0"/>
        <w:numId w:val="5"/>
      </w:numPr>
      <w:autoSpaceDE/>
      <w:autoSpaceDN/>
    </w:pPr>
    <w:rPr>
      <w:rFonts w:eastAsia="黑体"/>
      <w:sz w:val="28"/>
      <w:szCs w:val="20"/>
      <w:lang w:eastAsia="zh-CN"/>
    </w:rPr>
  </w:style>
  <w:style w:type="character" w:customStyle="1" w:styleId="35">
    <w:name w:val="未处理的提及1"/>
    <w:basedOn w:val="12"/>
    <w:semiHidden/>
    <w:unhideWhenUsed/>
    <w:qFormat/>
    <w:uiPriority w:val="99"/>
    <w:rPr>
      <w:color w:val="605E5C"/>
      <w:shd w:val="clear" w:color="auto" w:fill="E1DFDD"/>
    </w:rPr>
  </w:style>
  <w:style w:type="character" w:customStyle="1" w:styleId="36">
    <w:name w:val="bjh-p"/>
    <w:basedOn w:val="12"/>
    <w:qFormat/>
    <w:uiPriority w:val="0"/>
  </w:style>
  <w:style w:type="character" w:customStyle="1" w:styleId="37">
    <w:name w:val="Unresolved Mention"/>
    <w:basedOn w:val="12"/>
    <w:semiHidden/>
    <w:unhideWhenUsed/>
    <w:qFormat/>
    <w:uiPriority w:val="99"/>
    <w:rPr>
      <w:color w:val="605E5C"/>
      <w:shd w:val="clear" w:color="auto" w:fill="E1DFDD"/>
    </w:rPr>
  </w:style>
  <w:style w:type="paragraph" w:customStyle="1" w:styleId="38">
    <w:name w:val="标准文件_段"/>
    <w:qFormat/>
    <w:uiPriority w:val="0"/>
    <w:pPr>
      <w:ind w:firstLine="198" w:firstLineChars="200"/>
      <w:jc w:val="both"/>
    </w:pPr>
    <w:rPr>
      <w:rFonts w:ascii="宋体" w:hAnsi="Times New Roman" w:eastAsia="宋体" w:cstheme="minorBidi"/>
      <w:sz w:val="21"/>
      <w:lang w:val="en-US" w:eastAsia="zh-CN" w:bidi="ar-SA"/>
    </w:rPr>
  </w:style>
  <w:style w:type="paragraph" w:customStyle="1" w:styleId="39">
    <w:name w:val="标准文件_二级无标题"/>
    <w:basedOn w:val="40"/>
    <w:qFormat/>
    <w:uiPriority w:val="0"/>
    <w:pPr>
      <w:spacing w:beforeLines="0" w:afterLines="0"/>
      <w:outlineLvl w:val="9"/>
    </w:pPr>
    <w:rPr>
      <w:rFonts w:ascii="宋体" w:hAnsi="宋体" w:eastAsia="宋体"/>
      <w:kern w:val="2"/>
      <w:szCs w:val="22"/>
    </w:rPr>
  </w:style>
  <w:style w:type="paragraph" w:customStyle="1" w:styleId="40">
    <w:name w:val="标准文件_二级条标题"/>
    <w:next w:val="38"/>
    <w:qFormat/>
    <w:uiPriority w:val="0"/>
    <w:pPr>
      <w:numPr>
        <w:ilvl w:val="2"/>
        <w:numId w:val="6"/>
      </w:numPr>
      <w:spacing w:beforeLines="50" w:afterLines="50"/>
      <w:jc w:val="both"/>
      <w:outlineLvl w:val="2"/>
    </w:pPr>
    <w:rPr>
      <w:rFonts w:ascii="黑体" w:hAnsi="黑体" w:eastAsia="黑体" w:cstheme="minorBidi"/>
      <w:sz w:val="21"/>
      <w:lang w:val="en-US" w:eastAsia="zh-CN" w:bidi="ar-SA"/>
    </w:rPr>
  </w:style>
  <w:style w:type="paragraph" w:customStyle="1" w:styleId="41">
    <w:name w:val="标准文件_一级条标题"/>
    <w:basedOn w:val="42"/>
    <w:next w:val="38"/>
    <w:qFormat/>
    <w:uiPriority w:val="0"/>
    <w:pPr>
      <w:numPr>
        <w:ilvl w:val="1"/>
      </w:numPr>
      <w:spacing w:beforeLines="50" w:afterLines="50"/>
      <w:outlineLvl w:val="1"/>
    </w:pPr>
  </w:style>
  <w:style w:type="paragraph" w:customStyle="1" w:styleId="42">
    <w:name w:val="标准文件_章标题"/>
    <w:next w:val="38"/>
    <w:qFormat/>
    <w:uiPriority w:val="0"/>
    <w:pPr>
      <w:numPr>
        <w:ilvl w:val="0"/>
        <w:numId w:val="6"/>
      </w:numPr>
      <w:spacing w:beforeLines="100" w:afterLines="100"/>
      <w:jc w:val="both"/>
      <w:outlineLvl w:val="0"/>
    </w:pPr>
    <w:rPr>
      <w:rFonts w:ascii="黑体" w:hAnsi="Times New Roman" w:eastAsia="黑体" w:cstheme="minorBidi"/>
      <w:sz w:val="21"/>
      <w:lang w:val="en-US" w:eastAsia="zh-CN" w:bidi="ar-SA"/>
    </w:rPr>
  </w:style>
  <w:style w:type="paragraph" w:customStyle="1" w:styleId="43">
    <w:name w:val="标准文件_三级无标题"/>
    <w:basedOn w:val="44"/>
    <w:qFormat/>
    <w:uiPriority w:val="0"/>
    <w:pPr>
      <w:spacing w:beforeLines="0" w:afterLines="0"/>
      <w:outlineLvl w:val="9"/>
    </w:pPr>
    <w:rPr>
      <w:rFonts w:ascii="宋体" w:hAnsi="宋体" w:eastAsia="宋体"/>
    </w:rPr>
  </w:style>
  <w:style w:type="paragraph" w:customStyle="1" w:styleId="44">
    <w:name w:val="标准文件_三级条标题"/>
    <w:basedOn w:val="40"/>
    <w:next w:val="38"/>
    <w:qFormat/>
    <w:uiPriority w:val="0"/>
    <w:pPr>
      <w:numPr>
        <w:ilvl w:val="3"/>
      </w:numPr>
      <w:outlineLvl w:val="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市质量技术监督局</Company>
  <Pages>13</Pages>
  <Words>944</Words>
  <Characters>5386</Characters>
  <Lines>44</Lines>
  <Paragraphs>12</Paragraphs>
  <TotalTime>1</TotalTime>
  <ScaleCrop>false</ScaleCrop>
  <LinksUpToDate>false</LinksUpToDate>
  <CharactersWithSpaces>6318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2021-12-14T09:22:00Z</dcterms:created>
  <dc:creator>Jeff-Z</dc:creator>
  <cp:lastModifiedBy>冬雪</cp:lastModifiedBy>
  <cp:lastPrinted>2024-04-25T10:29:00Z</cp:lastPrinted>
  <dcterms:modified xsi:type="dcterms:W3CDTF">2025-06-17T03:49:26Z</dcterms:modified>
  <cp:revision>542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58E2C60B6A4440A4911CC6E76CA0E142</vt:lpwstr>
  </property>
</Properties>
</file>